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8D53AC" w14:textId="77777777" w:rsidR="00C62C41" w:rsidRDefault="00C62C41"/>
    <w:tbl>
      <w:tblPr>
        <w:tblStyle w:val="a"/>
        <w:tblW w:w="9104"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49"/>
        <w:gridCol w:w="2161"/>
        <w:gridCol w:w="1944"/>
        <w:gridCol w:w="1775"/>
        <w:gridCol w:w="1775"/>
      </w:tblGrid>
      <w:tr w:rsidR="00C62C41" w:rsidRPr="00D5003F" w14:paraId="21665DD6" w14:textId="77777777">
        <w:trPr>
          <w:jc w:val="center"/>
        </w:trPr>
        <w:tc>
          <w:tcPr>
            <w:tcW w:w="1449" w:type="dxa"/>
            <w:tcMar>
              <w:top w:w="100" w:type="dxa"/>
              <w:left w:w="100" w:type="dxa"/>
              <w:bottom w:w="100" w:type="dxa"/>
              <w:right w:w="100" w:type="dxa"/>
            </w:tcMar>
            <w:vAlign w:val="center"/>
          </w:tcPr>
          <w:p w14:paraId="60CFF614" w14:textId="77777777" w:rsidR="00C62C41" w:rsidRPr="00D5003F" w:rsidRDefault="00B35C73">
            <w:pPr>
              <w:widowControl w:val="0"/>
              <w:pBdr>
                <w:top w:val="nil"/>
                <w:left w:val="nil"/>
                <w:bottom w:val="nil"/>
                <w:right w:val="nil"/>
                <w:between w:val="nil"/>
              </w:pBdr>
              <w:spacing w:line="240" w:lineRule="auto"/>
              <w:jc w:val="center"/>
              <w:rPr>
                <w:rFonts w:ascii="Aptos" w:hAnsi="Aptos"/>
                <w:b/>
                <w:bCs/>
                <w:sz w:val="20"/>
                <w:szCs w:val="20"/>
              </w:rPr>
            </w:pPr>
            <w:r w:rsidRPr="00D5003F">
              <w:rPr>
                <w:rFonts w:ascii="Aptos" w:hAnsi="Aptos"/>
                <w:b/>
                <w:bCs/>
                <w:sz w:val="20"/>
                <w:szCs w:val="20"/>
              </w:rPr>
              <w:t xml:space="preserve">Cruise </w:t>
            </w:r>
            <w:proofErr w:type="spellStart"/>
            <w:r w:rsidRPr="00D5003F">
              <w:rPr>
                <w:rFonts w:ascii="Aptos" w:hAnsi="Aptos"/>
                <w:b/>
                <w:bCs/>
                <w:sz w:val="20"/>
                <w:szCs w:val="20"/>
              </w:rPr>
              <w:t>name</w:t>
            </w:r>
            <w:proofErr w:type="spellEnd"/>
            <w:r w:rsidRPr="00D5003F">
              <w:rPr>
                <w:rFonts w:ascii="Aptos" w:hAnsi="Aptos"/>
                <w:b/>
                <w:bCs/>
                <w:sz w:val="20"/>
                <w:szCs w:val="20"/>
              </w:rPr>
              <w:t xml:space="preserve"> </w:t>
            </w:r>
          </w:p>
        </w:tc>
        <w:tc>
          <w:tcPr>
            <w:tcW w:w="2161" w:type="dxa"/>
            <w:tcMar>
              <w:top w:w="100" w:type="dxa"/>
              <w:left w:w="100" w:type="dxa"/>
              <w:bottom w:w="100" w:type="dxa"/>
              <w:right w:w="100" w:type="dxa"/>
            </w:tcMar>
            <w:vAlign w:val="center"/>
          </w:tcPr>
          <w:p w14:paraId="25203C34" w14:textId="77777777" w:rsidR="00C62C41" w:rsidRPr="00D5003F" w:rsidRDefault="00B35C73">
            <w:pPr>
              <w:widowControl w:val="0"/>
              <w:spacing w:line="240" w:lineRule="auto"/>
              <w:jc w:val="center"/>
              <w:rPr>
                <w:rFonts w:ascii="Aptos" w:hAnsi="Aptos"/>
                <w:b/>
                <w:bCs/>
                <w:sz w:val="20"/>
                <w:szCs w:val="20"/>
                <w:lang w:val="en-US"/>
              </w:rPr>
            </w:pPr>
            <w:r w:rsidRPr="00D5003F">
              <w:rPr>
                <w:rFonts w:ascii="Aptos" w:hAnsi="Aptos"/>
                <w:b/>
                <w:bCs/>
                <w:sz w:val="20"/>
                <w:szCs w:val="20"/>
                <w:lang w:val="en-US"/>
              </w:rPr>
              <w:t>HPLC equipment/system (incl. column type)</w:t>
            </w:r>
          </w:p>
        </w:tc>
        <w:tc>
          <w:tcPr>
            <w:tcW w:w="1944" w:type="dxa"/>
            <w:tcMar>
              <w:top w:w="100" w:type="dxa"/>
              <w:left w:w="100" w:type="dxa"/>
              <w:bottom w:w="100" w:type="dxa"/>
              <w:right w:w="100" w:type="dxa"/>
            </w:tcMar>
            <w:vAlign w:val="center"/>
          </w:tcPr>
          <w:p w14:paraId="60B24FAF" w14:textId="77777777" w:rsidR="00C62C41" w:rsidRPr="00D5003F" w:rsidRDefault="00B35C73">
            <w:pPr>
              <w:widowControl w:val="0"/>
              <w:pBdr>
                <w:top w:val="nil"/>
                <w:left w:val="nil"/>
                <w:bottom w:val="nil"/>
                <w:right w:val="nil"/>
                <w:between w:val="nil"/>
              </w:pBdr>
              <w:spacing w:line="240" w:lineRule="auto"/>
              <w:jc w:val="center"/>
              <w:rPr>
                <w:rFonts w:ascii="Aptos" w:hAnsi="Aptos"/>
                <w:b/>
                <w:bCs/>
                <w:sz w:val="20"/>
                <w:szCs w:val="20"/>
              </w:rPr>
            </w:pPr>
            <w:proofErr w:type="spellStart"/>
            <w:r w:rsidRPr="00D5003F">
              <w:rPr>
                <w:rFonts w:ascii="Aptos" w:hAnsi="Aptos"/>
                <w:b/>
                <w:bCs/>
                <w:sz w:val="20"/>
                <w:szCs w:val="20"/>
              </w:rPr>
              <w:t>Extraction</w:t>
            </w:r>
            <w:proofErr w:type="spellEnd"/>
            <w:r w:rsidRPr="00D5003F">
              <w:rPr>
                <w:rFonts w:ascii="Aptos" w:hAnsi="Aptos"/>
                <w:b/>
                <w:bCs/>
                <w:sz w:val="20"/>
                <w:szCs w:val="20"/>
              </w:rPr>
              <w:t xml:space="preserve"> </w:t>
            </w:r>
            <w:proofErr w:type="spellStart"/>
            <w:r w:rsidRPr="00D5003F">
              <w:rPr>
                <w:rFonts w:ascii="Aptos" w:hAnsi="Aptos"/>
                <w:b/>
                <w:bCs/>
                <w:sz w:val="20"/>
                <w:szCs w:val="20"/>
              </w:rPr>
              <w:t>method</w:t>
            </w:r>
            <w:proofErr w:type="spellEnd"/>
            <w:r w:rsidRPr="00D5003F">
              <w:rPr>
                <w:rFonts w:ascii="Aptos" w:hAnsi="Aptos"/>
                <w:b/>
                <w:bCs/>
                <w:sz w:val="20"/>
                <w:szCs w:val="20"/>
              </w:rPr>
              <w:t xml:space="preserve"> </w:t>
            </w:r>
          </w:p>
        </w:tc>
        <w:tc>
          <w:tcPr>
            <w:tcW w:w="1775" w:type="dxa"/>
            <w:tcMar>
              <w:top w:w="100" w:type="dxa"/>
              <w:left w:w="100" w:type="dxa"/>
              <w:bottom w:w="100" w:type="dxa"/>
              <w:right w:w="100" w:type="dxa"/>
            </w:tcMar>
            <w:vAlign w:val="center"/>
          </w:tcPr>
          <w:p w14:paraId="33A7E0A4" w14:textId="77777777" w:rsidR="00C62C41" w:rsidRPr="00D5003F" w:rsidRDefault="00B35C73">
            <w:pPr>
              <w:widowControl w:val="0"/>
              <w:pBdr>
                <w:top w:val="nil"/>
                <w:left w:val="nil"/>
                <w:bottom w:val="nil"/>
                <w:right w:val="nil"/>
                <w:between w:val="nil"/>
              </w:pBdr>
              <w:spacing w:line="240" w:lineRule="auto"/>
              <w:jc w:val="center"/>
              <w:rPr>
                <w:rFonts w:ascii="Aptos" w:hAnsi="Aptos"/>
                <w:b/>
                <w:bCs/>
                <w:sz w:val="20"/>
                <w:szCs w:val="20"/>
              </w:rPr>
            </w:pPr>
            <w:proofErr w:type="spellStart"/>
            <w:r w:rsidRPr="00D5003F">
              <w:rPr>
                <w:rFonts w:ascii="Aptos" w:hAnsi="Aptos"/>
                <w:b/>
                <w:bCs/>
                <w:sz w:val="20"/>
                <w:szCs w:val="20"/>
              </w:rPr>
              <w:t>Other</w:t>
            </w:r>
            <w:proofErr w:type="spellEnd"/>
            <w:r w:rsidRPr="00D5003F">
              <w:rPr>
                <w:rFonts w:ascii="Aptos" w:hAnsi="Aptos"/>
                <w:b/>
                <w:bCs/>
                <w:sz w:val="20"/>
                <w:szCs w:val="20"/>
              </w:rPr>
              <w:t xml:space="preserve"> </w:t>
            </w:r>
            <w:proofErr w:type="spellStart"/>
            <w:r w:rsidRPr="00D5003F">
              <w:rPr>
                <w:rFonts w:ascii="Aptos" w:hAnsi="Aptos"/>
                <w:b/>
                <w:bCs/>
                <w:sz w:val="20"/>
                <w:szCs w:val="20"/>
              </w:rPr>
              <w:t>details</w:t>
            </w:r>
            <w:proofErr w:type="spellEnd"/>
          </w:p>
        </w:tc>
        <w:tc>
          <w:tcPr>
            <w:tcW w:w="1775" w:type="dxa"/>
            <w:tcMar>
              <w:top w:w="100" w:type="dxa"/>
              <w:left w:w="100" w:type="dxa"/>
              <w:bottom w:w="100" w:type="dxa"/>
              <w:right w:w="100" w:type="dxa"/>
            </w:tcMar>
            <w:vAlign w:val="center"/>
          </w:tcPr>
          <w:p w14:paraId="4A61B4EA" w14:textId="77777777" w:rsidR="00C62C41" w:rsidRPr="00D5003F" w:rsidRDefault="00B35C73">
            <w:pPr>
              <w:widowControl w:val="0"/>
              <w:pBdr>
                <w:top w:val="nil"/>
                <w:left w:val="nil"/>
                <w:bottom w:val="nil"/>
                <w:right w:val="nil"/>
                <w:between w:val="nil"/>
              </w:pBdr>
              <w:spacing w:line="240" w:lineRule="auto"/>
              <w:jc w:val="center"/>
              <w:rPr>
                <w:rFonts w:ascii="Aptos" w:hAnsi="Aptos"/>
                <w:b/>
                <w:bCs/>
                <w:sz w:val="20"/>
                <w:szCs w:val="20"/>
              </w:rPr>
            </w:pPr>
            <w:r w:rsidRPr="00D5003F">
              <w:rPr>
                <w:rFonts w:ascii="Aptos" w:hAnsi="Aptos"/>
                <w:b/>
                <w:bCs/>
                <w:sz w:val="20"/>
                <w:szCs w:val="20"/>
              </w:rPr>
              <w:t>References</w:t>
            </w:r>
          </w:p>
        </w:tc>
      </w:tr>
      <w:tr w:rsidR="00C62C41" w:rsidRPr="00D5003F" w14:paraId="0776EA00" w14:textId="77777777">
        <w:trPr>
          <w:jc w:val="center"/>
        </w:trPr>
        <w:tc>
          <w:tcPr>
            <w:tcW w:w="144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2A92A3" w14:textId="05BC7001" w:rsidR="00C62C41" w:rsidRPr="00D5003F" w:rsidRDefault="00D5003F">
            <w:pPr>
              <w:widowControl w:val="0"/>
              <w:spacing w:after="240"/>
              <w:rPr>
                <w:rFonts w:ascii="Aptos" w:hAnsi="Aptos"/>
                <w:sz w:val="20"/>
                <w:szCs w:val="20"/>
                <w:lang w:val="en-US"/>
              </w:rPr>
            </w:pPr>
            <w:r>
              <w:rPr>
                <w:rFonts w:ascii="Aptos" w:hAnsi="Aptos"/>
                <w:sz w:val="20"/>
                <w:szCs w:val="20"/>
                <w:lang w:val="en-US"/>
              </w:rPr>
              <w:t>C</w:t>
            </w:r>
            <w:r w:rsidRPr="00D5003F">
              <w:rPr>
                <w:rFonts w:ascii="Aptos" w:hAnsi="Aptos"/>
                <w:sz w:val="20"/>
                <w:szCs w:val="20"/>
                <w:lang w:val="en-US"/>
              </w:rPr>
              <w:t xml:space="preserve">ruises on RV Oceania in summer seasons between 1999 and 2024 (AREX expeditions), RV Akademik Ioffe (spring 2002 and summer 2003), RV </w:t>
            </w:r>
            <w:proofErr w:type="spellStart"/>
            <w:r w:rsidRPr="00D5003F">
              <w:rPr>
                <w:rFonts w:ascii="Aptos" w:hAnsi="Aptos"/>
                <w:sz w:val="20"/>
                <w:szCs w:val="20"/>
                <w:lang w:val="en-US"/>
              </w:rPr>
              <w:t>Polarstern</w:t>
            </w:r>
            <w:proofErr w:type="spellEnd"/>
            <w:r w:rsidRPr="00D5003F">
              <w:rPr>
                <w:rFonts w:ascii="Aptos" w:hAnsi="Aptos"/>
                <w:sz w:val="20"/>
                <w:szCs w:val="20"/>
                <w:lang w:val="en-US"/>
              </w:rPr>
              <w:t xml:space="preserve"> (spring 2003), RV DANA (summer 2021), and RV Maria S. Merian (summer 2022).</w:t>
            </w:r>
          </w:p>
          <w:p w14:paraId="4F486462" w14:textId="77777777" w:rsidR="00C62C41" w:rsidRPr="00D5003F" w:rsidRDefault="00B35C73">
            <w:pPr>
              <w:widowControl w:val="0"/>
              <w:spacing w:before="240" w:after="240"/>
              <w:rPr>
                <w:rFonts w:ascii="Aptos" w:hAnsi="Aptos"/>
                <w:sz w:val="20"/>
                <w:szCs w:val="20"/>
                <w:lang w:val="en-US"/>
              </w:rPr>
            </w:pPr>
            <w:r w:rsidRPr="00D5003F">
              <w:rPr>
                <w:rFonts w:ascii="Aptos" w:hAnsi="Aptos"/>
                <w:sz w:val="20"/>
                <w:szCs w:val="20"/>
                <w:lang w:val="en-US"/>
              </w:rPr>
              <w:t xml:space="preserve"> </w:t>
            </w:r>
          </w:p>
          <w:p w14:paraId="273FF678" w14:textId="77777777" w:rsidR="00C62C41" w:rsidRPr="00D5003F" w:rsidRDefault="00B35C73">
            <w:pPr>
              <w:widowControl w:val="0"/>
              <w:spacing w:before="240"/>
              <w:rPr>
                <w:rFonts w:ascii="Aptos" w:hAnsi="Aptos"/>
                <w:sz w:val="20"/>
                <w:szCs w:val="20"/>
                <w:lang w:val="en-US"/>
              </w:rPr>
            </w:pPr>
            <w:r w:rsidRPr="00D5003F">
              <w:rPr>
                <w:rFonts w:ascii="Aptos" w:hAnsi="Aptos"/>
                <w:sz w:val="20"/>
                <w:szCs w:val="20"/>
                <w:lang w:val="en-US"/>
              </w:rPr>
              <w:t xml:space="preserve"> </w:t>
            </w:r>
          </w:p>
        </w:tc>
        <w:tc>
          <w:tcPr>
            <w:tcW w:w="2161"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5BDF1E87" w14:textId="77777777" w:rsidR="00C62C41" w:rsidRPr="00D5003F" w:rsidRDefault="00B35C73">
            <w:pPr>
              <w:widowControl w:val="0"/>
              <w:rPr>
                <w:rFonts w:ascii="Aptos" w:hAnsi="Aptos"/>
                <w:sz w:val="20"/>
                <w:szCs w:val="20"/>
                <w:lang w:val="en-US"/>
              </w:rPr>
            </w:pPr>
            <w:r w:rsidRPr="00D5003F">
              <w:rPr>
                <w:rFonts w:ascii="Aptos" w:hAnsi="Aptos"/>
                <w:sz w:val="20"/>
                <w:szCs w:val="20"/>
                <w:lang w:val="en-US"/>
              </w:rPr>
              <w:t xml:space="preserve">The chromatographic system HP1200 (Agilent, Perlan Technologies) was equipped with diode array absorbance detector, fluorescence detector and C18 </w:t>
            </w:r>
            <w:proofErr w:type="spellStart"/>
            <w:r w:rsidRPr="00D5003F">
              <w:rPr>
                <w:rFonts w:ascii="Aptos" w:hAnsi="Aptos"/>
                <w:sz w:val="20"/>
                <w:szCs w:val="20"/>
                <w:lang w:val="en-US"/>
              </w:rPr>
              <w:t>LichroCART™LiChrospher</w:t>
            </w:r>
            <w:proofErr w:type="spellEnd"/>
            <w:r w:rsidRPr="00D5003F">
              <w:rPr>
                <w:rFonts w:ascii="Aptos" w:hAnsi="Aptos"/>
                <w:sz w:val="20"/>
                <w:szCs w:val="20"/>
                <w:lang w:val="en-US"/>
              </w:rPr>
              <w:t xml:space="preserve">™ 100 RP18e (Merck) analytical column (dimension 250 x 4 mm, particle size 5 </w:t>
            </w:r>
            <w:r w:rsidRPr="00D5003F">
              <w:rPr>
                <w:rFonts w:ascii="Aptos" w:hAnsi="Aptos"/>
                <w:sz w:val="20"/>
                <w:szCs w:val="20"/>
              </w:rPr>
              <w:t>μ</w:t>
            </w:r>
            <w:r w:rsidRPr="00D5003F">
              <w:rPr>
                <w:rFonts w:ascii="Aptos" w:hAnsi="Aptos"/>
                <w:sz w:val="20"/>
                <w:szCs w:val="20"/>
                <w:lang w:val="en-US"/>
              </w:rPr>
              <w:t>m and pore size 100 Å).</w:t>
            </w:r>
          </w:p>
        </w:tc>
        <w:tc>
          <w:tcPr>
            <w:tcW w:w="1944"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19A2FF15" w14:textId="77777777" w:rsidR="00C62C41" w:rsidRPr="00D5003F" w:rsidRDefault="00B35C73">
            <w:pPr>
              <w:widowControl w:val="0"/>
              <w:rPr>
                <w:rFonts w:ascii="Aptos" w:hAnsi="Aptos"/>
                <w:sz w:val="20"/>
                <w:szCs w:val="20"/>
                <w:lang w:val="en-US"/>
              </w:rPr>
            </w:pPr>
            <w:r w:rsidRPr="00D5003F">
              <w:rPr>
                <w:rFonts w:ascii="Aptos" w:hAnsi="Aptos"/>
                <w:sz w:val="20"/>
                <w:szCs w:val="20"/>
                <w:lang w:val="en-US"/>
              </w:rPr>
              <w:t>Pigments were extracted from cells by</w:t>
            </w:r>
            <w:r w:rsidRPr="00D5003F">
              <w:rPr>
                <w:rFonts w:ascii="Aptos" w:hAnsi="Aptos"/>
                <w:b/>
                <w:bCs/>
                <w:sz w:val="20"/>
                <w:szCs w:val="20"/>
                <w:lang w:val="en-US"/>
              </w:rPr>
              <w:t xml:space="preserve"> </w:t>
            </w:r>
            <w:r w:rsidRPr="00D5003F">
              <w:rPr>
                <w:rFonts w:ascii="Aptos" w:hAnsi="Aptos"/>
                <w:sz w:val="20"/>
                <w:szCs w:val="20"/>
                <w:lang w:val="en-US"/>
              </w:rPr>
              <w:t>mechanical grinding and sonication (2 min, 20 kHz, Cole Parmer, 4710 Series) in darkness conditions at 4 ºC for 2 hours using 90% acetone solution (Parsons et al. 1984). After centrifugation (20 min., 4 ºC, 3210xg, Beckman, GS-6R) to remove the filters and cellular debris, extract was subjected to the chromatographic analysis.</w:t>
            </w:r>
          </w:p>
        </w:tc>
        <w:tc>
          <w:tcPr>
            <w:tcW w:w="177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1D207A89" w14:textId="77777777" w:rsidR="00C62C41" w:rsidRPr="00D5003F" w:rsidRDefault="00B35C73">
            <w:pPr>
              <w:widowControl w:val="0"/>
              <w:rPr>
                <w:rFonts w:ascii="Aptos" w:hAnsi="Aptos"/>
                <w:sz w:val="20"/>
                <w:szCs w:val="20"/>
                <w:lang w:val="en-US"/>
              </w:rPr>
            </w:pPr>
            <w:r w:rsidRPr="00D5003F">
              <w:rPr>
                <w:rFonts w:ascii="Aptos" w:hAnsi="Aptos"/>
                <w:sz w:val="20"/>
                <w:szCs w:val="20"/>
                <w:lang w:val="en-US"/>
              </w:rPr>
              <w:t xml:space="preserve">Pigments separation, qualification and quantification was performed according to methodology described in </w:t>
            </w:r>
            <w:proofErr w:type="spellStart"/>
            <w:r w:rsidRPr="00D5003F">
              <w:rPr>
                <w:rFonts w:ascii="Aptos" w:hAnsi="Aptos"/>
                <w:sz w:val="20"/>
                <w:szCs w:val="20"/>
                <w:lang w:val="en-US"/>
              </w:rPr>
              <w:t>Stoń-Egiert</w:t>
            </w:r>
            <w:proofErr w:type="spellEnd"/>
            <w:r w:rsidRPr="00D5003F">
              <w:rPr>
                <w:rFonts w:ascii="Aptos" w:hAnsi="Aptos"/>
                <w:sz w:val="20"/>
                <w:szCs w:val="20"/>
                <w:lang w:val="en-US"/>
              </w:rPr>
              <w:t xml:space="preserve"> and Kosakowska (2005) using a gradient mixture of methanol, 1 M ammonium acetate and acetone used as a mobile phase. Pigments </w:t>
            </w:r>
            <w:proofErr w:type="gramStart"/>
            <w:r w:rsidRPr="00D5003F">
              <w:rPr>
                <w:rFonts w:ascii="Aptos" w:hAnsi="Aptos"/>
                <w:sz w:val="20"/>
                <w:szCs w:val="20"/>
                <w:lang w:val="en-US"/>
              </w:rPr>
              <w:t>detection  was</w:t>
            </w:r>
            <w:proofErr w:type="gramEnd"/>
            <w:r w:rsidRPr="00D5003F">
              <w:rPr>
                <w:rFonts w:ascii="Aptos" w:hAnsi="Aptos"/>
                <w:sz w:val="20"/>
                <w:szCs w:val="20"/>
                <w:lang w:val="en-US"/>
              </w:rPr>
              <w:t xml:space="preserve"> based on their retention time and absorbance spectra, while quantification </w:t>
            </w:r>
            <w:proofErr w:type="gramStart"/>
            <w:r w:rsidRPr="00D5003F">
              <w:rPr>
                <w:rFonts w:ascii="Aptos" w:hAnsi="Aptos"/>
                <w:sz w:val="20"/>
                <w:szCs w:val="20"/>
                <w:lang w:val="en-US"/>
              </w:rPr>
              <w:t>base</w:t>
            </w:r>
            <w:proofErr w:type="gramEnd"/>
            <w:r w:rsidRPr="00D5003F">
              <w:rPr>
                <w:rFonts w:ascii="Aptos" w:hAnsi="Aptos"/>
                <w:sz w:val="20"/>
                <w:szCs w:val="20"/>
                <w:lang w:val="en-US"/>
              </w:rPr>
              <w:t xml:space="preserve"> on an external standardization equation combining the chromatographic parameters of individual pigments with their concentration. Calibration of chromatographic system was performed using commercially available chlorophylls and carotenoids standards (The </w:t>
            </w:r>
            <w:r w:rsidRPr="00D5003F">
              <w:rPr>
                <w:rFonts w:ascii="Aptos" w:hAnsi="Aptos"/>
                <w:sz w:val="20"/>
                <w:szCs w:val="20"/>
                <w:lang w:val="en-US"/>
              </w:rPr>
              <w:lastRenderedPageBreak/>
              <w:t>International Agency for</w:t>
            </w:r>
            <w:r w:rsidRPr="00D5003F">
              <w:rPr>
                <w:rFonts w:ascii="Aptos" w:hAnsi="Aptos"/>
                <w:sz w:val="20"/>
                <w:szCs w:val="20"/>
                <w:lang w:val="en-US"/>
              </w:rPr>
              <w:t xml:space="preserve"> 14C Determination DHI Institute for Water and Environment in Denmark). The documented measurement precision was 2.9% ± 1.5% and a recurrence error was 9.7%±6.4% (</w:t>
            </w:r>
            <w:proofErr w:type="spellStart"/>
            <w:r w:rsidRPr="00D5003F">
              <w:rPr>
                <w:rFonts w:ascii="Aptos" w:hAnsi="Aptos"/>
                <w:sz w:val="20"/>
                <w:szCs w:val="20"/>
                <w:lang w:val="en-US"/>
              </w:rPr>
              <w:t>Stoń-Egiert</w:t>
            </w:r>
            <w:proofErr w:type="spellEnd"/>
            <w:r w:rsidRPr="00D5003F">
              <w:rPr>
                <w:rFonts w:ascii="Aptos" w:hAnsi="Aptos"/>
                <w:sz w:val="20"/>
                <w:szCs w:val="20"/>
                <w:lang w:val="en-US"/>
              </w:rPr>
              <w:t xml:space="preserve"> et al., 2010).</w:t>
            </w:r>
          </w:p>
        </w:tc>
        <w:tc>
          <w:tcPr>
            <w:tcW w:w="1775" w:type="dxa"/>
            <w:tcBorders>
              <w:top w:val="single" w:sz="8" w:space="0" w:color="000000"/>
              <w:bottom w:val="single" w:sz="8" w:space="0" w:color="000000"/>
              <w:right w:val="single" w:sz="8" w:space="0" w:color="000000"/>
            </w:tcBorders>
            <w:tcMar>
              <w:top w:w="0" w:type="dxa"/>
              <w:left w:w="100" w:type="dxa"/>
              <w:bottom w:w="0" w:type="dxa"/>
              <w:right w:w="100" w:type="dxa"/>
            </w:tcMar>
          </w:tcPr>
          <w:p w14:paraId="43543D5F" w14:textId="2AABADDA" w:rsidR="00C62C41" w:rsidRPr="00C45FF4" w:rsidRDefault="00B45C78" w:rsidP="00CC06C1">
            <w:pPr>
              <w:widowControl w:val="0"/>
              <w:spacing w:after="240"/>
              <w:ind w:left="40" w:hanging="20"/>
              <w:rPr>
                <w:rFonts w:ascii="Aptos" w:hAnsi="Aptos"/>
                <w:sz w:val="20"/>
                <w:szCs w:val="20"/>
                <w:lang w:val="da-DK"/>
              </w:rPr>
            </w:pPr>
            <w:r w:rsidRPr="00D5003F">
              <w:rPr>
                <w:rFonts w:ascii="Aptos" w:hAnsi="Aptos"/>
                <w:sz w:val="20"/>
                <w:szCs w:val="20"/>
                <w:lang w:val="en-US"/>
              </w:rPr>
              <w:lastRenderedPageBreak/>
              <w:fldChar w:fldCharType="begin"/>
            </w:r>
            <w:r w:rsidRPr="00C45FF4">
              <w:rPr>
                <w:rFonts w:ascii="Aptos" w:hAnsi="Aptos"/>
                <w:sz w:val="20"/>
                <w:szCs w:val="20"/>
                <w:lang w:val="da-DK"/>
              </w:rPr>
              <w:instrText xml:space="preserve"> ADDIN ZOTERO_ITEM CSL_CITATION {"citationID":"1F0fIBTq","properties":{"formattedCitation":"(Parsons et al., 1984)","plainCitation":"(Parsons et al., 1984)","noteIndex":0},"citationItems":[{"id":2590,"uris":["http://zotero.org/users/13776053/items/JXCC3JDD"],"itemData":{"id":2590,"type":"article-journal","container-title":"Biological oceanographic processes","journalAbbreviation":"Biological oceanographic processes","note":"publisher: Pergamon Press New York, NY, USA","title":"Amanual of chemical and biological methods for seawater analysis","volume":"173","author":[{"family":"Parsons","given":"TR"},{"family":"Maita","given":"Yoshiaki"},{"family":"Lalli","given":"Carol M"}],"issued":{"date-parts":[["1984"]]}}}],"schema":"https://github.com/citation-style-language/schema/raw/master/csl-citation.json"} </w:instrText>
            </w:r>
            <w:r w:rsidRPr="00D5003F">
              <w:rPr>
                <w:rFonts w:ascii="Aptos" w:hAnsi="Aptos"/>
                <w:sz w:val="20"/>
                <w:szCs w:val="20"/>
                <w:lang w:val="en-US"/>
              </w:rPr>
              <w:fldChar w:fldCharType="separate"/>
            </w:r>
            <w:r w:rsidR="00CC06C1" w:rsidRPr="00C45FF4">
              <w:rPr>
                <w:rFonts w:ascii="Aptos" w:hAnsi="Aptos"/>
                <w:sz w:val="20"/>
                <w:szCs w:val="20"/>
                <w:lang w:val="da-DK"/>
              </w:rPr>
              <w:t>(Parsons et al., 1984)</w:t>
            </w:r>
            <w:r w:rsidRPr="00D5003F">
              <w:rPr>
                <w:rFonts w:ascii="Aptos" w:hAnsi="Aptos"/>
                <w:sz w:val="20"/>
                <w:szCs w:val="20"/>
                <w:lang w:val="en-US"/>
              </w:rPr>
              <w:fldChar w:fldCharType="end"/>
            </w:r>
          </w:p>
          <w:p w14:paraId="3EE09F70" w14:textId="3528C037" w:rsidR="00C62C41" w:rsidRPr="00C45FF4" w:rsidRDefault="00B45C78" w:rsidP="00CC06C1">
            <w:pPr>
              <w:widowControl w:val="0"/>
              <w:spacing w:before="240" w:after="240"/>
              <w:ind w:left="40" w:hanging="20"/>
              <w:rPr>
                <w:rFonts w:ascii="Aptos" w:hAnsi="Aptos"/>
                <w:sz w:val="20"/>
                <w:szCs w:val="20"/>
                <w:lang w:val="da-DK"/>
              </w:rPr>
            </w:pPr>
            <w:r w:rsidRPr="00D5003F">
              <w:rPr>
                <w:rFonts w:ascii="Aptos" w:hAnsi="Aptos"/>
                <w:sz w:val="20"/>
                <w:szCs w:val="20"/>
                <w:lang w:val="en-US"/>
              </w:rPr>
              <w:fldChar w:fldCharType="begin"/>
            </w:r>
            <w:r w:rsidRPr="00C45FF4">
              <w:rPr>
                <w:rFonts w:ascii="Aptos" w:hAnsi="Aptos"/>
                <w:sz w:val="20"/>
                <w:szCs w:val="20"/>
                <w:lang w:val="da-DK"/>
              </w:rPr>
              <w:instrText xml:space="preserve"> ADDIN ZOTERO_ITEM CSL_CITATION {"citationID":"MM1sQpSe","properties":{"formattedCitation":"(Sto\\uc0\\u324{}-Egiert and Kosakowska, 2005)","plainCitation":"(Stoń-Egiert and Kosakowska, 2005)","noteIndex":0},"citationItems":[{"id":2591,"uris":["http://zotero.org/users/13776053/items/4E4QPIJV"],"itemData":{"id":2591,"type":"article-journal","container-title":"Marine Biology","ISSN":"0025-3162","issue":"1","journalAbbreviation":"Marine Biology","note":"publisher: Springer","page":"251-260","title":"RP-HPLC determination of phytoplankton pigments—comparison of calibration results for two columns","volume":"147","author":[{"family":"Stoń-Egiert","given":"J"},{"family":"Kosakowska","given":"A"}],"issued":{"date-parts":[["2005"]]}}}],"schema":"https://github.com/citation-style-language/schema/raw/master/csl-citation.json"} </w:instrText>
            </w:r>
            <w:r w:rsidRPr="00D5003F">
              <w:rPr>
                <w:rFonts w:ascii="Aptos" w:hAnsi="Aptos"/>
                <w:sz w:val="20"/>
                <w:szCs w:val="20"/>
                <w:lang w:val="en-US"/>
              </w:rPr>
              <w:fldChar w:fldCharType="separate"/>
            </w:r>
            <w:r w:rsidR="00CC06C1" w:rsidRPr="00D5003F">
              <w:rPr>
                <w:rFonts w:ascii="Aptos" w:hAnsi="Aptos" w:cs="Times New Roman"/>
                <w:sz w:val="20"/>
                <w:szCs w:val="20"/>
              </w:rPr>
              <w:t>(Stoń-Egiert and Kosakowska, 2005)</w:t>
            </w:r>
            <w:r w:rsidRPr="00D5003F">
              <w:rPr>
                <w:rFonts w:ascii="Aptos" w:hAnsi="Aptos"/>
                <w:sz w:val="20"/>
                <w:szCs w:val="20"/>
                <w:lang w:val="en-US"/>
              </w:rPr>
              <w:fldChar w:fldCharType="end"/>
            </w:r>
          </w:p>
          <w:p w14:paraId="11C32BE0" w14:textId="1D544331" w:rsidR="00B45C78" w:rsidRPr="00D5003F" w:rsidRDefault="00B45C78">
            <w:pPr>
              <w:widowControl w:val="0"/>
              <w:spacing w:before="240"/>
              <w:ind w:left="40" w:hanging="20"/>
              <w:rPr>
                <w:rFonts w:ascii="Aptos" w:hAnsi="Aptos"/>
                <w:sz w:val="20"/>
                <w:szCs w:val="20"/>
                <w:lang w:val="en-US"/>
              </w:rPr>
            </w:pPr>
            <w:r w:rsidRPr="00D5003F">
              <w:rPr>
                <w:rFonts w:ascii="Aptos" w:hAnsi="Aptos"/>
                <w:sz w:val="20"/>
                <w:szCs w:val="20"/>
                <w:lang w:val="en-US"/>
              </w:rPr>
              <w:fldChar w:fldCharType="begin"/>
            </w:r>
            <w:r w:rsidRPr="00D5003F">
              <w:rPr>
                <w:rFonts w:ascii="Aptos" w:hAnsi="Aptos"/>
                <w:sz w:val="20"/>
                <w:szCs w:val="20"/>
                <w:lang w:val="en-US"/>
              </w:rPr>
              <w:instrText xml:space="preserve"> ADDIN ZOTERO_ITEM CSL_CITATION {"citationID":"GOrAjLxh","properties":{"formattedCitation":"(Ston-Egiert et al., 2010)","plainCitation":"(Ston-Egiert et al., 2010)","noteIndex":0},"citationItems":[{"id":2592,"uris":["http://zotero.org/users/13776053/items/RMZAXMXK"],"itemData":{"id":2592,"type":"article-journal","container-title":"Oceanologia","ISSN":"0078-3234","issue":"1","journalAbbreviation":"Oceanologia","note":"publisher: -","page":"101-125","title":"The influence of biotic factors on phytoplankton pigment composition and resources in Baltic ecosystems: new analytical results","volume":"52","author":[{"family":"Ston-Egiert","given":"Joanna"},{"family":"Lotocka","given":"Maria"},{"family":"Ostrowska","given":"Miroslawa"},{"family":"Kosakowska","given":"Alicja"}],"issued":{"date-parts":[["2010"]]}}}],"schema":"https://github.com/citation-style-language/schema/raw/master/csl-citation.json"} </w:instrText>
            </w:r>
            <w:r w:rsidRPr="00D5003F">
              <w:rPr>
                <w:rFonts w:ascii="Aptos" w:hAnsi="Aptos"/>
                <w:sz w:val="20"/>
                <w:szCs w:val="20"/>
                <w:lang w:val="en-US"/>
              </w:rPr>
              <w:fldChar w:fldCharType="separate"/>
            </w:r>
            <w:r w:rsidR="00CC06C1" w:rsidRPr="00D5003F">
              <w:rPr>
                <w:rFonts w:ascii="Aptos" w:hAnsi="Aptos"/>
                <w:sz w:val="20"/>
                <w:szCs w:val="20"/>
                <w:lang w:val="en-US"/>
              </w:rPr>
              <w:t>(Ston-Egiert et al., 2010)</w:t>
            </w:r>
            <w:r w:rsidRPr="00D5003F">
              <w:rPr>
                <w:rFonts w:ascii="Aptos" w:hAnsi="Aptos"/>
                <w:sz w:val="20"/>
                <w:szCs w:val="20"/>
                <w:lang w:val="en-US"/>
              </w:rPr>
              <w:fldChar w:fldCharType="end"/>
            </w:r>
          </w:p>
        </w:tc>
      </w:tr>
      <w:tr w:rsidR="00C62C41" w:rsidRPr="00D5003F" w14:paraId="7936C47F" w14:textId="77777777">
        <w:trPr>
          <w:jc w:val="center"/>
        </w:trPr>
        <w:tc>
          <w:tcPr>
            <w:tcW w:w="1449" w:type="dxa"/>
            <w:tcMar>
              <w:top w:w="100" w:type="dxa"/>
              <w:left w:w="100" w:type="dxa"/>
              <w:bottom w:w="100" w:type="dxa"/>
              <w:right w:w="100" w:type="dxa"/>
            </w:tcMar>
          </w:tcPr>
          <w:p w14:paraId="77FBA942" w14:textId="77777777" w:rsidR="00C62C41" w:rsidRPr="00D5003F" w:rsidRDefault="00B35C73">
            <w:pPr>
              <w:widowControl w:val="0"/>
              <w:spacing w:line="240" w:lineRule="auto"/>
              <w:rPr>
                <w:rFonts w:ascii="Aptos" w:hAnsi="Aptos"/>
                <w:sz w:val="20"/>
                <w:szCs w:val="20"/>
              </w:rPr>
            </w:pPr>
            <w:r w:rsidRPr="00D5003F">
              <w:rPr>
                <w:rFonts w:ascii="Aptos" w:hAnsi="Aptos"/>
                <w:sz w:val="20"/>
                <w:szCs w:val="20"/>
              </w:rPr>
              <w:t>LIU_2015_PS93.2</w:t>
            </w:r>
          </w:p>
        </w:tc>
        <w:tc>
          <w:tcPr>
            <w:tcW w:w="2161" w:type="dxa"/>
            <w:tcMar>
              <w:top w:w="100" w:type="dxa"/>
              <w:left w:w="100" w:type="dxa"/>
              <w:bottom w:w="100" w:type="dxa"/>
              <w:right w:w="100" w:type="dxa"/>
            </w:tcMar>
          </w:tcPr>
          <w:p w14:paraId="0C995013" w14:textId="77777777" w:rsidR="00C62C41" w:rsidRPr="00D5003F" w:rsidRDefault="00B35C73">
            <w:pPr>
              <w:widowControl w:val="0"/>
              <w:spacing w:line="240" w:lineRule="auto"/>
              <w:rPr>
                <w:rFonts w:ascii="Aptos" w:eastAsia="Calibri" w:hAnsi="Aptos" w:cs="Calibri"/>
                <w:sz w:val="20"/>
                <w:szCs w:val="20"/>
                <w:lang w:val="en-US"/>
              </w:rPr>
            </w:pPr>
            <w:r w:rsidRPr="00D5003F">
              <w:rPr>
                <w:rFonts w:ascii="Aptos" w:eastAsia="Calibri" w:hAnsi="Aptos" w:cs="Calibri"/>
                <w:sz w:val="20"/>
                <w:szCs w:val="20"/>
                <w:lang w:val="en-US"/>
              </w:rPr>
              <w:t xml:space="preserve">Waters 600 </w:t>
            </w:r>
            <w:proofErr w:type="gramStart"/>
            <w:r w:rsidRPr="00D5003F">
              <w:rPr>
                <w:rFonts w:ascii="Aptos" w:eastAsia="Calibri" w:hAnsi="Aptos" w:cs="Calibri"/>
                <w:sz w:val="20"/>
                <w:szCs w:val="20"/>
                <w:lang w:val="en-US"/>
              </w:rPr>
              <w:t>controller</w:t>
            </w:r>
            <w:proofErr w:type="gramEnd"/>
            <w:r w:rsidRPr="00D5003F">
              <w:rPr>
                <w:rFonts w:ascii="Aptos" w:eastAsia="Calibri" w:hAnsi="Aptos" w:cs="Calibri"/>
                <w:sz w:val="20"/>
                <w:szCs w:val="20"/>
                <w:lang w:val="en-US"/>
              </w:rPr>
              <w:t>, 1525 pump</w:t>
            </w:r>
          </w:p>
          <w:p w14:paraId="70A1AF8F" w14:textId="77777777" w:rsidR="00C62C41" w:rsidRPr="00D5003F" w:rsidRDefault="00B35C73">
            <w:pPr>
              <w:widowControl w:val="0"/>
              <w:spacing w:line="240" w:lineRule="auto"/>
              <w:rPr>
                <w:rFonts w:ascii="Aptos" w:eastAsia="Calibri" w:hAnsi="Aptos" w:cs="Calibri"/>
                <w:sz w:val="20"/>
                <w:szCs w:val="20"/>
                <w:lang w:val="en-US"/>
              </w:rPr>
            </w:pPr>
            <w:r w:rsidRPr="00D5003F">
              <w:rPr>
                <w:rFonts w:ascii="Aptos" w:eastAsia="Calibri" w:hAnsi="Aptos" w:cs="Calibri"/>
                <w:sz w:val="20"/>
                <w:szCs w:val="20"/>
                <w:lang w:val="en-US"/>
              </w:rPr>
              <w:t>OPTIMAS autosampler</w:t>
            </w:r>
          </w:p>
          <w:p w14:paraId="05D8E5CE" w14:textId="77777777" w:rsidR="00C62C41" w:rsidRPr="00D5003F" w:rsidRDefault="00B35C73">
            <w:pPr>
              <w:widowControl w:val="0"/>
              <w:spacing w:line="240" w:lineRule="auto"/>
              <w:rPr>
                <w:rFonts w:ascii="Aptos" w:eastAsia="Calibri" w:hAnsi="Aptos" w:cs="Calibri"/>
                <w:sz w:val="20"/>
                <w:szCs w:val="20"/>
                <w:lang w:val="en-US"/>
              </w:rPr>
            </w:pPr>
            <w:r w:rsidRPr="00D5003F">
              <w:rPr>
                <w:rFonts w:ascii="Aptos" w:eastAsia="Calibri" w:hAnsi="Aptos" w:cs="Calibri"/>
                <w:sz w:val="20"/>
                <w:szCs w:val="20"/>
                <w:lang w:val="en-US"/>
              </w:rPr>
              <w:t>Waters PDA 2998</w:t>
            </w:r>
          </w:p>
          <w:p w14:paraId="6CF4D631" w14:textId="77777777" w:rsidR="00C62C41" w:rsidRPr="00D5003F" w:rsidRDefault="00B35C73">
            <w:pPr>
              <w:widowControl w:val="0"/>
              <w:spacing w:line="240" w:lineRule="auto"/>
              <w:rPr>
                <w:rFonts w:ascii="Aptos" w:eastAsia="Calibri" w:hAnsi="Aptos" w:cs="Calibri"/>
                <w:sz w:val="20"/>
                <w:szCs w:val="20"/>
                <w:lang w:val="en-US"/>
              </w:rPr>
            </w:pPr>
            <w:proofErr w:type="spellStart"/>
            <w:r w:rsidRPr="00D5003F">
              <w:rPr>
                <w:rFonts w:ascii="Aptos" w:eastAsia="Calibri" w:hAnsi="Aptos" w:cs="Calibri"/>
                <w:sz w:val="20"/>
                <w:szCs w:val="20"/>
                <w:lang w:val="en-US"/>
              </w:rPr>
              <w:t>Fluorescense</w:t>
            </w:r>
            <w:proofErr w:type="spellEnd"/>
            <w:r w:rsidRPr="00D5003F">
              <w:rPr>
                <w:rFonts w:ascii="Aptos" w:eastAsia="Calibri" w:hAnsi="Aptos" w:cs="Calibri"/>
                <w:sz w:val="20"/>
                <w:szCs w:val="20"/>
                <w:lang w:val="en-US"/>
              </w:rPr>
              <w:t xml:space="preserve"> detector Waters 2475</w:t>
            </w:r>
          </w:p>
          <w:p w14:paraId="07CA0526" w14:textId="77777777" w:rsidR="00C62C41" w:rsidRPr="00D5003F" w:rsidRDefault="00B35C73">
            <w:pPr>
              <w:widowControl w:val="0"/>
              <w:spacing w:line="240" w:lineRule="auto"/>
              <w:rPr>
                <w:rFonts w:ascii="Aptos" w:hAnsi="Aptos"/>
                <w:sz w:val="20"/>
                <w:szCs w:val="20"/>
                <w:lang w:val="en-US"/>
              </w:rPr>
            </w:pPr>
            <w:r w:rsidRPr="00D5003F">
              <w:rPr>
                <w:rFonts w:ascii="Aptos" w:eastAsia="Calibri" w:hAnsi="Aptos" w:cs="Calibri"/>
                <w:sz w:val="20"/>
                <w:szCs w:val="20"/>
                <w:lang w:val="en-US"/>
              </w:rPr>
              <w:t>Software: EMPOWER3</w:t>
            </w:r>
          </w:p>
        </w:tc>
        <w:tc>
          <w:tcPr>
            <w:tcW w:w="1944" w:type="dxa"/>
            <w:tcMar>
              <w:top w:w="100" w:type="dxa"/>
              <w:left w:w="100" w:type="dxa"/>
              <w:bottom w:w="100" w:type="dxa"/>
              <w:right w:w="100" w:type="dxa"/>
            </w:tcMar>
          </w:tcPr>
          <w:p w14:paraId="6C343348" w14:textId="77777777" w:rsidR="00C62C41" w:rsidRPr="00D5003F" w:rsidRDefault="00B35C73">
            <w:pPr>
              <w:widowControl w:val="0"/>
              <w:rPr>
                <w:rFonts w:ascii="Aptos" w:hAnsi="Aptos"/>
                <w:sz w:val="20"/>
                <w:szCs w:val="20"/>
                <w:lang w:val="en-US"/>
              </w:rPr>
            </w:pPr>
            <w:r w:rsidRPr="00D5003F">
              <w:rPr>
                <w:rFonts w:ascii="Aptos" w:hAnsi="Aptos"/>
                <w:sz w:val="20"/>
                <w:szCs w:val="20"/>
                <w:lang w:val="en-US"/>
              </w:rPr>
              <w:t xml:space="preserve">Water samples were filtered on board through Whatman GF/F filters with a pore size of 0.7 µm and the filters were thermally shocked in liquid nitrogen and stored in the -80°C freezer. Then for the extraction we used a refrigerated centrifuge Sigma 3-16KL with Eppie-Rot (4°C, 1500xg, 5 min) and warm </w:t>
            </w:r>
            <w:proofErr w:type="gramStart"/>
            <w:r w:rsidRPr="00D5003F">
              <w:rPr>
                <w:rFonts w:ascii="Aptos" w:hAnsi="Aptos"/>
                <w:sz w:val="20"/>
                <w:szCs w:val="20"/>
                <w:lang w:val="en-US"/>
              </w:rPr>
              <w:t xml:space="preserve">up  </w:t>
            </w:r>
            <w:r w:rsidRPr="00D5003F">
              <w:rPr>
                <w:rFonts w:ascii="Aptos" w:hAnsi="Aptos"/>
                <w:sz w:val="20"/>
                <w:szCs w:val="20"/>
                <w:u w:val="single"/>
                <w:lang w:val="en-US"/>
              </w:rPr>
              <w:t>&lt;</w:t>
            </w:r>
            <w:proofErr w:type="gramEnd"/>
            <w:r w:rsidRPr="00D5003F">
              <w:rPr>
                <w:rFonts w:ascii="Aptos" w:hAnsi="Aptos"/>
                <w:sz w:val="20"/>
                <w:szCs w:val="20"/>
                <w:lang w:val="en-US"/>
              </w:rPr>
              <w:t xml:space="preserve">30min. </w:t>
            </w:r>
            <w:proofErr w:type="spellStart"/>
            <w:r w:rsidRPr="00DF1C2E">
              <w:rPr>
                <w:rFonts w:ascii="Aptos" w:hAnsi="Aptos"/>
                <w:sz w:val="20"/>
                <w:szCs w:val="20"/>
                <w:lang w:val="en-US"/>
              </w:rPr>
              <w:t>Thermo</w:t>
            </w:r>
            <w:proofErr w:type="spellEnd"/>
            <w:r w:rsidRPr="00DF1C2E">
              <w:rPr>
                <w:rFonts w:ascii="Aptos" w:hAnsi="Aptos"/>
                <w:sz w:val="20"/>
                <w:szCs w:val="20"/>
                <w:lang w:val="en-US"/>
              </w:rPr>
              <w:t xml:space="preserve"> Scientific Evolution 201 UV-Visible Spectrophotometer. </w:t>
            </w:r>
            <w:r w:rsidRPr="00D5003F">
              <w:rPr>
                <w:rFonts w:ascii="Aptos" w:hAnsi="Aptos"/>
                <w:sz w:val="20"/>
                <w:szCs w:val="20"/>
                <w:lang w:val="en-US"/>
              </w:rPr>
              <w:t xml:space="preserve">Fill 100% </w:t>
            </w:r>
            <w:proofErr w:type="spellStart"/>
            <w:r w:rsidRPr="00D5003F">
              <w:rPr>
                <w:rFonts w:ascii="Aptos" w:hAnsi="Aptos"/>
                <w:sz w:val="20"/>
                <w:szCs w:val="20"/>
                <w:lang w:val="en-US"/>
              </w:rPr>
              <w:t>aceton</w:t>
            </w:r>
            <w:proofErr w:type="spellEnd"/>
            <w:r w:rsidRPr="00D5003F">
              <w:rPr>
                <w:rFonts w:ascii="Aptos" w:hAnsi="Aptos"/>
                <w:sz w:val="20"/>
                <w:szCs w:val="20"/>
                <w:lang w:val="en-US"/>
              </w:rPr>
              <w:t xml:space="preserve"> in reference cuvette of photometer, balance it with Auto Zero. Add Canthaxanthin (~0.0161 mg L</w:t>
            </w:r>
            <w:r w:rsidRPr="00D5003F">
              <w:rPr>
                <w:rFonts w:ascii="Aptos" w:hAnsi="Aptos"/>
                <w:sz w:val="20"/>
                <w:szCs w:val="20"/>
                <w:vertAlign w:val="superscript"/>
                <w:lang w:val="en-US"/>
              </w:rPr>
              <w:t>-1</w:t>
            </w:r>
            <w:r w:rsidRPr="00D5003F">
              <w:rPr>
                <w:rFonts w:ascii="Aptos" w:hAnsi="Aptos"/>
                <w:sz w:val="20"/>
                <w:szCs w:val="20"/>
                <w:lang w:val="en-US"/>
              </w:rPr>
              <w:t xml:space="preserve">) into sample cuvette (instead of acetone) - internal standard for correcting </w:t>
            </w:r>
            <w:r w:rsidRPr="00D5003F">
              <w:rPr>
                <w:rFonts w:ascii="Aptos" w:hAnsi="Aptos"/>
                <w:sz w:val="20"/>
                <w:szCs w:val="20"/>
                <w:lang w:val="en-US"/>
              </w:rPr>
              <w:lastRenderedPageBreak/>
              <w:t xml:space="preserve">solvent and sample loss!). Measure absorption of Canthaxanthin-standard at 750nm and 474 nm. </w:t>
            </w:r>
            <w:proofErr w:type="gramStart"/>
            <w:r w:rsidRPr="00D5003F">
              <w:rPr>
                <w:rFonts w:ascii="Aptos" w:hAnsi="Aptos"/>
                <w:sz w:val="20"/>
                <w:szCs w:val="20"/>
                <w:lang w:val="en-US"/>
              </w:rPr>
              <w:t>a(</w:t>
            </w:r>
            <w:proofErr w:type="gramEnd"/>
            <w:r w:rsidRPr="00D5003F">
              <w:rPr>
                <w:rFonts w:ascii="Aptos" w:hAnsi="Aptos"/>
                <w:sz w:val="20"/>
                <w:szCs w:val="20"/>
                <w:lang w:val="en-US"/>
              </w:rPr>
              <w:t xml:space="preserve">474) of standard should be ~0.5mg/L (value is later used for calculations of HPLC pigments). Make sure that the sample filters in the </w:t>
            </w:r>
            <w:proofErr w:type="spellStart"/>
            <w:r w:rsidRPr="00D5003F">
              <w:rPr>
                <w:rFonts w:ascii="Aptos" w:hAnsi="Aptos"/>
                <w:sz w:val="20"/>
                <w:szCs w:val="20"/>
                <w:lang w:val="en-US"/>
              </w:rPr>
              <w:t>CryoVials</w:t>
            </w:r>
            <w:proofErr w:type="spellEnd"/>
            <w:r w:rsidRPr="00D5003F">
              <w:rPr>
                <w:rFonts w:ascii="Aptos" w:hAnsi="Aptos"/>
                <w:sz w:val="20"/>
                <w:szCs w:val="20"/>
                <w:lang w:val="en-US"/>
              </w:rPr>
              <w:t xml:space="preserve"> have thawed. Take filters from the sample tubes into labeled 2ml-Apexvial and add </w:t>
            </w:r>
            <w:r w:rsidRPr="00D5003F">
              <w:rPr>
                <w:rFonts w:ascii="Aptos" w:hAnsi="Aptos"/>
                <w:sz w:val="20"/>
                <w:szCs w:val="20"/>
                <w:lang w:val="en-US"/>
              </w:rPr>
              <w:t>100% acetone to sample filters (with water in filter finally ~90% acetone).</w:t>
            </w:r>
          </w:p>
        </w:tc>
        <w:tc>
          <w:tcPr>
            <w:tcW w:w="1775" w:type="dxa"/>
            <w:tcMar>
              <w:top w:w="100" w:type="dxa"/>
              <w:left w:w="100" w:type="dxa"/>
              <w:bottom w:w="100" w:type="dxa"/>
              <w:right w:w="100" w:type="dxa"/>
            </w:tcMar>
          </w:tcPr>
          <w:p w14:paraId="29A03F01" w14:textId="77777777" w:rsidR="00C62C41" w:rsidRPr="00D5003F" w:rsidRDefault="00B35C73">
            <w:pPr>
              <w:widowControl w:val="0"/>
              <w:spacing w:line="240" w:lineRule="auto"/>
              <w:rPr>
                <w:rFonts w:ascii="Aptos" w:hAnsi="Aptos"/>
                <w:sz w:val="20"/>
                <w:szCs w:val="20"/>
                <w:lang w:val="en-US"/>
              </w:rPr>
            </w:pPr>
            <w:r w:rsidRPr="00D5003F">
              <w:rPr>
                <w:rFonts w:ascii="Aptos" w:hAnsi="Aptos"/>
                <w:sz w:val="20"/>
                <w:szCs w:val="20"/>
                <w:lang w:val="en-US"/>
              </w:rPr>
              <w:lastRenderedPageBreak/>
              <w:t xml:space="preserve">The soluble organic phytoplankton pigment concentrations were determined using HPLC according to the method of Barlow et al. </w:t>
            </w:r>
            <w:r w:rsidRPr="00C45FF4">
              <w:rPr>
                <w:rFonts w:ascii="Aptos" w:hAnsi="Aptos"/>
                <w:sz w:val="20"/>
                <w:szCs w:val="20"/>
                <w:lang w:val="en-US"/>
              </w:rPr>
              <w:t xml:space="preserve">(1997) adjusted to our temperature-controlled instruments (Taylor et al. 2011). </w:t>
            </w:r>
            <w:r w:rsidRPr="00D5003F">
              <w:rPr>
                <w:rFonts w:ascii="Aptos" w:hAnsi="Aptos"/>
                <w:sz w:val="20"/>
                <w:szCs w:val="20"/>
                <w:lang w:val="en-US"/>
              </w:rPr>
              <w:t xml:space="preserve">The pigment data </w:t>
            </w:r>
            <w:proofErr w:type="gramStart"/>
            <w:r w:rsidRPr="00D5003F">
              <w:rPr>
                <w:rFonts w:ascii="Aptos" w:hAnsi="Aptos"/>
                <w:sz w:val="20"/>
                <w:szCs w:val="20"/>
                <w:lang w:val="en-US"/>
              </w:rPr>
              <w:t>were</w:t>
            </w:r>
            <w:proofErr w:type="gramEnd"/>
            <w:r w:rsidRPr="00D5003F">
              <w:rPr>
                <w:rFonts w:ascii="Aptos" w:hAnsi="Aptos"/>
                <w:sz w:val="20"/>
                <w:szCs w:val="20"/>
                <w:lang w:val="en-US"/>
              </w:rPr>
              <w:t xml:space="preserve"> quality controlled</w:t>
            </w:r>
          </w:p>
          <w:p w14:paraId="039DC7EF" w14:textId="77777777" w:rsidR="00C62C41" w:rsidRPr="00D5003F" w:rsidRDefault="00B35C73">
            <w:pPr>
              <w:widowControl w:val="0"/>
              <w:pBdr>
                <w:top w:val="nil"/>
                <w:left w:val="nil"/>
                <w:bottom w:val="nil"/>
                <w:right w:val="nil"/>
                <w:between w:val="nil"/>
              </w:pBdr>
              <w:spacing w:line="240" w:lineRule="auto"/>
              <w:rPr>
                <w:rFonts w:ascii="Aptos" w:hAnsi="Aptos"/>
                <w:sz w:val="20"/>
                <w:szCs w:val="20"/>
                <w:lang w:val="en-US"/>
              </w:rPr>
            </w:pPr>
            <w:proofErr w:type="spellStart"/>
            <w:r w:rsidRPr="00C45FF4">
              <w:rPr>
                <w:rFonts w:ascii="Aptos" w:hAnsi="Aptos"/>
                <w:sz w:val="20"/>
                <w:szCs w:val="20"/>
                <w:lang w:val="da-DK"/>
              </w:rPr>
              <w:t>according</w:t>
            </w:r>
            <w:proofErr w:type="spellEnd"/>
            <w:r w:rsidRPr="00C45FF4">
              <w:rPr>
                <w:rFonts w:ascii="Aptos" w:hAnsi="Aptos"/>
                <w:sz w:val="20"/>
                <w:szCs w:val="20"/>
                <w:lang w:val="da-DK"/>
              </w:rPr>
              <w:t xml:space="preserve"> to </w:t>
            </w:r>
            <w:proofErr w:type="spellStart"/>
            <w:r w:rsidRPr="00C45FF4">
              <w:rPr>
                <w:rFonts w:ascii="Aptos" w:hAnsi="Aptos"/>
                <w:sz w:val="20"/>
                <w:szCs w:val="20"/>
                <w:lang w:val="da-DK"/>
              </w:rPr>
              <w:t>Aiken</w:t>
            </w:r>
            <w:proofErr w:type="spellEnd"/>
            <w:r w:rsidRPr="00C45FF4">
              <w:rPr>
                <w:rFonts w:ascii="Aptos" w:hAnsi="Aptos"/>
                <w:sz w:val="20"/>
                <w:szCs w:val="20"/>
                <w:lang w:val="da-DK"/>
              </w:rPr>
              <w:t xml:space="preserve"> et al. </w:t>
            </w:r>
            <w:r w:rsidRPr="00C45FF4">
              <w:rPr>
                <w:rFonts w:ascii="Aptos" w:hAnsi="Aptos"/>
                <w:sz w:val="20"/>
                <w:szCs w:val="20"/>
                <w:lang w:val="en-US"/>
              </w:rPr>
              <w:t xml:space="preserve">(2009). </w:t>
            </w:r>
            <w:r w:rsidRPr="00D5003F">
              <w:rPr>
                <w:rFonts w:ascii="Aptos" w:hAnsi="Aptos"/>
                <w:sz w:val="20"/>
                <w:szCs w:val="20"/>
                <w:lang w:val="en-US"/>
              </w:rPr>
              <w:t xml:space="preserve">Uncertainties of our HPLC measurements were assessed from triplicate samples taken at several prior cruises and campaigns (data sets related to Taylor et al. 2011, Bracher et al. 2015, Zindler et al. 2013, </w:t>
            </w:r>
            <w:proofErr w:type="spellStart"/>
            <w:r w:rsidRPr="00D5003F">
              <w:rPr>
                <w:rFonts w:ascii="Aptos" w:hAnsi="Aptos"/>
                <w:sz w:val="20"/>
                <w:szCs w:val="20"/>
                <w:lang w:val="en-US"/>
              </w:rPr>
              <w:t>Tilstone</w:t>
            </w:r>
            <w:proofErr w:type="spellEnd"/>
            <w:r w:rsidRPr="00D5003F">
              <w:rPr>
                <w:rFonts w:ascii="Aptos" w:hAnsi="Aptos"/>
                <w:sz w:val="20"/>
                <w:szCs w:val="20"/>
                <w:lang w:val="en-US"/>
              </w:rPr>
              <w:t xml:space="preserve"> et al. 2020). For the different </w:t>
            </w:r>
            <w:r w:rsidRPr="00D5003F">
              <w:rPr>
                <w:rFonts w:ascii="Aptos" w:hAnsi="Aptos"/>
                <w:sz w:val="20"/>
                <w:szCs w:val="20"/>
                <w:lang w:val="en-US"/>
              </w:rPr>
              <w:lastRenderedPageBreak/>
              <w:t xml:space="preserve">cruises the average deviation for HPLC </w:t>
            </w:r>
            <w:proofErr w:type="spellStart"/>
            <w:r w:rsidRPr="00D5003F">
              <w:rPr>
                <w:rFonts w:ascii="Aptos" w:hAnsi="Aptos"/>
                <w:sz w:val="20"/>
                <w:szCs w:val="20"/>
                <w:lang w:val="en-US"/>
              </w:rPr>
              <w:t>TChl</w:t>
            </w:r>
            <w:proofErr w:type="spellEnd"/>
            <w:r w:rsidRPr="00D5003F">
              <w:rPr>
                <w:rFonts w:ascii="Aptos" w:hAnsi="Aptos"/>
                <w:sz w:val="20"/>
                <w:szCs w:val="20"/>
                <w:lang w:val="en-US"/>
              </w:rPr>
              <w:t xml:space="preserve">-a and the seven other pigments used in the diagnostic pigment analysis (DPA, see below) ranged from 5 to 8% with a standard deviation for triplicates between 1 to 11%. </w:t>
            </w:r>
          </w:p>
        </w:tc>
        <w:tc>
          <w:tcPr>
            <w:tcW w:w="1775" w:type="dxa"/>
            <w:tcMar>
              <w:top w:w="100" w:type="dxa"/>
              <w:left w:w="100" w:type="dxa"/>
              <w:bottom w:w="100" w:type="dxa"/>
              <w:right w:w="100" w:type="dxa"/>
            </w:tcMar>
          </w:tcPr>
          <w:p w14:paraId="3F4D283D" w14:textId="5A17CAB3" w:rsidR="00CC06C1" w:rsidRPr="00D5003F" w:rsidRDefault="00B35C73" w:rsidP="00CC06C1">
            <w:pPr>
              <w:widowControl w:val="0"/>
              <w:pBdr>
                <w:top w:val="nil"/>
                <w:left w:val="nil"/>
                <w:bottom w:val="nil"/>
                <w:right w:val="nil"/>
                <w:between w:val="nil"/>
              </w:pBdr>
              <w:spacing w:line="240" w:lineRule="auto"/>
              <w:rPr>
                <w:rFonts w:ascii="Aptos" w:hAnsi="Aptos"/>
                <w:sz w:val="20"/>
                <w:szCs w:val="20"/>
                <w:lang w:val="en-US"/>
              </w:rPr>
            </w:pPr>
            <w:r w:rsidRPr="00D5003F">
              <w:rPr>
                <w:rFonts w:ascii="Aptos" w:hAnsi="Aptos"/>
                <w:sz w:val="20"/>
                <w:szCs w:val="20"/>
                <w:lang w:val="en-US"/>
              </w:rPr>
              <w:lastRenderedPageBreak/>
              <w:t xml:space="preserve">Follows </w:t>
            </w:r>
            <w:r w:rsidR="00CC06C1" w:rsidRPr="00D5003F">
              <w:rPr>
                <w:rFonts w:ascii="Aptos" w:hAnsi="Aptos"/>
                <w:sz w:val="20"/>
                <w:szCs w:val="20"/>
              </w:rPr>
              <w:fldChar w:fldCharType="begin"/>
            </w:r>
            <w:r w:rsidR="00CC06C1" w:rsidRPr="00D5003F">
              <w:rPr>
                <w:rFonts w:ascii="Aptos" w:hAnsi="Aptos"/>
                <w:sz w:val="20"/>
                <w:szCs w:val="20"/>
                <w:lang w:val="en-US"/>
              </w:rPr>
              <w:instrText xml:space="preserve"> ADDIN ZOTERO_ITEM CSL_CITATION {"citationID":"afk4lc5w","properties":{"formattedCitation":"(Barlow et al., 1997)","plainCitation":"(Barlow et al., 1997)","noteIndex":0},"citationItems":[{"id":2593,"uris":["http://zotero.org/users/13776053/items/NMBEKHBJ"],"itemData":{"id":2593,"type":"article-journal","abstract":"A reverse phase HPLC (high performance liquid chromatography) technique using a binary solvent system with a linear gradient on a Hypersil® MOS2 C-8 column is described. As well as the...","container-title":"Marine Ecology Progress Series","DOI":"10.3354/meps161303","ISSN":"1616-1599, 0171-8630","language":"en-US","page":"303-307","source":"www.int-res.com","title":"Improved resolution of mono- and divinyl chlorophylls a and b and zeaxanthin and lutein in phytoplankton extracts using reverse phase C-8 HPLC","volume":"161","author":[{"family":"Barlow","given":"R. G."},{"family":"Cummings","given":"D. G."},{"family":"Gibb","given":"S. W."}],"issued":{"date-parts":[["1997",12,31]]}}}],"schema":"https://github.com/citation-style-language/schema/raw/master/csl-citation.json"} </w:instrText>
            </w:r>
            <w:r w:rsidR="00CC06C1" w:rsidRPr="00D5003F">
              <w:rPr>
                <w:rFonts w:ascii="Aptos" w:hAnsi="Aptos"/>
                <w:sz w:val="20"/>
                <w:szCs w:val="20"/>
              </w:rPr>
              <w:fldChar w:fldCharType="separate"/>
            </w:r>
            <w:r w:rsidR="00CC06C1" w:rsidRPr="00D5003F">
              <w:rPr>
                <w:rFonts w:ascii="Aptos" w:hAnsi="Aptos"/>
                <w:sz w:val="20"/>
                <w:szCs w:val="20"/>
                <w:lang w:val="en-US"/>
              </w:rPr>
              <w:t>(Barlow et al., 1997)</w:t>
            </w:r>
            <w:r w:rsidR="00CC06C1" w:rsidRPr="00D5003F">
              <w:rPr>
                <w:rFonts w:ascii="Aptos" w:hAnsi="Aptos"/>
                <w:sz w:val="20"/>
                <w:szCs w:val="20"/>
              </w:rPr>
              <w:fldChar w:fldCharType="end"/>
            </w:r>
            <w:r w:rsidR="00CC06C1" w:rsidRPr="00D5003F">
              <w:rPr>
                <w:rFonts w:ascii="Aptos" w:hAnsi="Aptos"/>
                <w:sz w:val="20"/>
                <w:szCs w:val="20"/>
                <w:lang w:val="en-US"/>
              </w:rPr>
              <w:t xml:space="preserve">, adapted for ocean and polar waters by </w:t>
            </w:r>
            <w:r w:rsidR="00CC06C1" w:rsidRPr="00D5003F">
              <w:rPr>
                <w:rFonts w:ascii="Aptos" w:hAnsi="Aptos"/>
                <w:sz w:val="20"/>
                <w:szCs w:val="20"/>
              </w:rPr>
              <w:fldChar w:fldCharType="begin"/>
            </w:r>
            <w:r w:rsidR="00CC06C1" w:rsidRPr="00D5003F">
              <w:rPr>
                <w:rFonts w:ascii="Aptos" w:hAnsi="Aptos"/>
                <w:sz w:val="20"/>
                <w:szCs w:val="20"/>
                <w:lang w:val="en-US"/>
              </w:rPr>
              <w:instrText xml:space="preserve"> ADDIN ZOTERO_ITEM CSL_CITATION {"citationID":"mebXfgdN","properties":{"formattedCitation":"(Hoffmann et al., 2006)","plainCitation":"(Hoffmann et al., 2006)","noteIndex":0},"citationItems":[{"id":2595,"uris":["http://zotero.org/users/13776053/items/9MITEZNV"],"itemData":{"id":2595,"type":"article-journal","abstract":"During the European Iron Fertilisation Experiment (EIFEX), performed in the Southern Ocean, we investigated the reactions of different phytoplankton size classes to iron fertilization, applying measurements of size fractionated pigments, particulate organic matter, microscopy, and flow cytometry. Chlorophyll a (Chl a) concentrations at 20-m depth increased more than fivefold following fertilization through day 26, while concentrations of particulate organic carbon (POC), nitrogen (PON), and phosphorus (POP) roughly doubled through day 29. Concentrations of Chl a and particulate organic matter decreased toward the end of the experiment, indicating the demise of the iron-induced phytoplankton bloom. Despite a decrease in total diatom biomass at the end of the experiment, biogenic particulate silicate (bPSi) concentrations increased steadily due to a relative increase of heavily silicified diatoms. Although diatoms &gt;10 µm were the main beneficiaries of iron fertilization, the growth of small diatoms (2-8 mm) was also enhanced, leading to a shift from a haptophyte- to a diatom-dominated community in this size fraction. The total biomass had lower than Redfield C : N, N : P, and C : P ratios but did not show significant trends after iron fertilization. This concealed various alterations in the elemental composition of the different size fractions. The microplankton (&gt;20 µm) showed decreasing C : N and increasing N : P and C : P ratios, possibly caused by increased N uptake and the consumption of cellular P pools. The nanoplankton (2-20 µm) showed almost constant C : N and decreasing N : P and C : P ratios. Our results suggest that the latter is caused by a shift in composition of taxonomic groups.","container-title":"Limnology and Oceanography","DOI":"10.4319/lo.2006.51.3.1217","ISSN":"1939-5590","issue":"3","language":"en","license":"© 2006, by the Association for the Sciences of Limnology and Oceanography, Inc.","note":"_eprint: https://aslopubs.onlinelibrary.wiley.com/doi/pdf/10.4319/lo.2006.51.3.1217","page":"1217-1229","source":"Wiley Online Library","title":"Different reactions of Southern Ocean phytoplankton size classes to iron fertilization","volume":"51","author":[{"family":"Hoffmann","given":"Linn J."},{"family":"Peeken","given":"Ilka"},{"family":"Lochte","given":"Karin"},{"family":"Assmy","given":"Philipp"},{"family":"Veldhuis","given":"Marcel"}],"issued":{"date-parts":[["2006"]]}}}],"schema":"https://github.com/citation-style-language/schema/raw/master/csl-citation.json"} </w:instrText>
            </w:r>
            <w:r w:rsidR="00CC06C1" w:rsidRPr="00D5003F">
              <w:rPr>
                <w:rFonts w:ascii="Aptos" w:hAnsi="Aptos"/>
                <w:sz w:val="20"/>
                <w:szCs w:val="20"/>
              </w:rPr>
              <w:fldChar w:fldCharType="separate"/>
            </w:r>
            <w:r w:rsidR="00CC06C1" w:rsidRPr="00D5003F">
              <w:rPr>
                <w:rFonts w:ascii="Aptos" w:hAnsi="Aptos"/>
                <w:sz w:val="20"/>
                <w:szCs w:val="20"/>
                <w:lang w:val="en-US"/>
              </w:rPr>
              <w:t>(Hoffmann et al., 2006)</w:t>
            </w:r>
            <w:r w:rsidR="00CC06C1" w:rsidRPr="00D5003F">
              <w:rPr>
                <w:rFonts w:ascii="Aptos" w:hAnsi="Aptos"/>
                <w:sz w:val="20"/>
                <w:szCs w:val="20"/>
              </w:rPr>
              <w:fldChar w:fldCharType="end"/>
            </w:r>
            <w:r w:rsidR="00700494" w:rsidRPr="00D5003F">
              <w:rPr>
                <w:rFonts w:ascii="Aptos" w:hAnsi="Aptos"/>
                <w:sz w:val="20"/>
                <w:szCs w:val="20"/>
                <w:lang w:val="en-US"/>
              </w:rPr>
              <w:t xml:space="preserve">, adapted for our instruments by </w:t>
            </w:r>
          </w:p>
          <w:p w14:paraId="0042CFC4" w14:textId="6CB359FC" w:rsidR="005C36ED" w:rsidRPr="00D5003F" w:rsidRDefault="005C36ED" w:rsidP="005C36ED">
            <w:pPr>
              <w:widowControl w:val="0"/>
              <w:pBdr>
                <w:top w:val="nil"/>
                <w:left w:val="nil"/>
                <w:bottom w:val="nil"/>
                <w:right w:val="nil"/>
                <w:between w:val="nil"/>
              </w:pBdr>
              <w:spacing w:line="240" w:lineRule="auto"/>
              <w:rPr>
                <w:rFonts w:ascii="Aptos" w:hAnsi="Aptos"/>
                <w:sz w:val="20"/>
                <w:szCs w:val="20"/>
                <w:lang w:val="da-DK"/>
              </w:rPr>
            </w:pPr>
            <w:r w:rsidRPr="00D5003F">
              <w:rPr>
                <w:rFonts w:ascii="Aptos" w:hAnsi="Aptos"/>
                <w:sz w:val="20"/>
                <w:szCs w:val="20"/>
                <w:lang w:val="en-US"/>
              </w:rPr>
              <w:fldChar w:fldCharType="begin"/>
            </w:r>
            <w:r w:rsidRPr="00D5003F">
              <w:rPr>
                <w:rFonts w:ascii="Aptos" w:hAnsi="Aptos"/>
                <w:sz w:val="20"/>
                <w:szCs w:val="20"/>
                <w:lang w:val="en-US"/>
              </w:rPr>
              <w:instrText xml:space="preserve"> ADDIN ZOTERO_ITEM CSL_CITATION {"citationID":"93NZedF3","properties":{"formattedCitation":"(Taylor et al., 2011)","plainCitation":"(Taylor et al., 2011)","noteIndex":0},"citationItems":[{"id":2606,"uris":["http://zotero.org/users/13776053/items/BYPIJBRJ"],"itemData":{"id":2606,"type":"article-journal","abstract":"The relationship between phytoplankton assemblages and the associated optical properties of the water body is important for the further development of algorithms for large-scale remote sensing of phytoplankton biomass and the identification of phytoplankton functional types (PFTs), which are often representative for different biogeochemical export scenarios. Optical in-situ measurements aid in the identification of phytoplankton groups with differing pigment compositions and are widely used to validate remote sensing data. In this study we present results from an interdisciplinary cruise aboard the RV Polarstern along a north-to-south transect in the eastern Atlantic Ocean in November 2008. Phytoplankton community composition was identified using a broad set of in-situ measurements. Water samples from the surface and the depth of maximum chlorophyll concentration were analyzed by high performance liquid chromatography (HPLC), flow cytometry, spectrophotometry and microscopy. Simultaneously, the above- and underwater light field was measured by a set of high spectral resolution (hyperspectral) radiometers. An unsupervised cluster algorithm applied to the measured parameters allowed us to define bio-optical provinces, which we compared to ecological provinces proposed elsewhere in the literature. As could be expected, picophytoplankton was responsible for most of the variability of PFTs in the eastern Atlantic Ocean. Our bio-optical clusters agreed well with established provinces and thus can be used to classify areas of similar biogeography. This method has the potential to become an automated approach where satellite data could be used to identify shifting boundaries of established ecological provinces or to track exceptions from the rule to improve our understanding of the biogeochemical cycles in the ocean.","container-title":"Biogeosciences","DOI":"10.5194/bg-8-3609-2011","ISSN":"1726-4170","issue":"12","language":"English","note":"publisher: Copernicus GmbH","page":"3609-3629","source":"Copernicus Online Journals","title":"Bio-optical provinces in the eastern Atlantic Ocean and their biogeographical relevance","volume":"8","author":[{"family":"Taylor","given":"B. B."},{"family":"Torrecilla","given":"E."},{"family":"Bernhardt","given":"A."},{"family":"Taylor","given":"M. H."},{"family":"Peeken","given":"I."},{"family":"Röttgers","given":"R."},{"family":"Piera","given":"J."},{"family":"Bracher","given":"A."}],"issued":{"date-parts":[["2011",12,12]]}}}],"schema":"https://github.com/citation-style-language/schema/raw/master/csl-citation.json"} </w:instrText>
            </w:r>
            <w:r w:rsidRPr="00D5003F">
              <w:rPr>
                <w:rFonts w:ascii="Aptos" w:hAnsi="Aptos"/>
                <w:sz w:val="20"/>
                <w:szCs w:val="20"/>
                <w:lang w:val="en-US"/>
              </w:rPr>
              <w:fldChar w:fldCharType="separate"/>
            </w:r>
            <w:r w:rsidRPr="00D5003F">
              <w:rPr>
                <w:rFonts w:ascii="Aptos" w:hAnsi="Aptos"/>
                <w:sz w:val="20"/>
                <w:szCs w:val="20"/>
                <w:lang w:val="en-US"/>
              </w:rPr>
              <w:t>(Taylor et al., 2011)</w:t>
            </w:r>
            <w:r w:rsidRPr="00D5003F">
              <w:rPr>
                <w:rFonts w:ascii="Aptos" w:hAnsi="Aptos"/>
                <w:sz w:val="20"/>
                <w:szCs w:val="20"/>
                <w:lang w:val="en-US"/>
              </w:rPr>
              <w:fldChar w:fldCharType="end"/>
            </w:r>
            <w:r w:rsidRPr="00D5003F">
              <w:rPr>
                <w:rFonts w:ascii="Aptos" w:hAnsi="Aptos"/>
                <w:sz w:val="20"/>
                <w:szCs w:val="20"/>
                <w:lang w:val="en-US"/>
              </w:rPr>
              <w:t xml:space="preserve">, quality control following </w:t>
            </w:r>
            <w:r w:rsidRPr="00D5003F">
              <w:rPr>
                <w:rFonts w:ascii="Aptos" w:hAnsi="Aptos"/>
                <w:sz w:val="20"/>
                <w:szCs w:val="20"/>
                <w:lang w:val="en-US"/>
              </w:rPr>
              <w:fldChar w:fldCharType="begin"/>
            </w:r>
            <w:r w:rsidRPr="00D5003F">
              <w:rPr>
                <w:rFonts w:ascii="Aptos" w:hAnsi="Aptos"/>
                <w:sz w:val="20"/>
                <w:szCs w:val="20"/>
                <w:lang w:val="en-US"/>
              </w:rPr>
              <w:instrText xml:space="preserve"> ADDIN ZOTERO_ITEM CSL_CITATION {"citationID":"DJO3L51B","properties":{"formattedCitation":"(Aiken et al., 2009)","plainCitation":"(Aiken et al., 2009)","noteIndex":0},"citationItems":[{"id":2596,"uris":["http://zotero.org/users/13776053/items/CN5KYHD9"],"itemData":{"id":2596,"type":"article-journal","abstract":"The phytoplankton pigment composition (chlorophylls and carotenoids) from 17 Atlantic Meridional Transect (AMT) cruises over the period 1995–2005 was analysed to determine the distributions of pigments and plankton in the Atlantic Ocean between 50°N and 50°S. Data were quality assured by statistical methods, including regression of total chlorophyll a (TChla) versus accessory pigments (AP) and comparison of the AMT-TChla with contemporary SeaWiFS-TChla (cruises AMT-05 to -17). Comparisons of province-mean TChla (±SD) for in situ and satellite data showed good agreement for each cruise. ‘Taxa-specific’ pigments were used to define phytoplankton functional types (PFTs) for each of the biogeochemical provinces along the AMT. Pigment ratios (e.g. TChla/AP) were analysed for each cruise and for each province as indices (characteristic properties) of particular PFTs. Mostly robust positive correlations were observed between TChla and pigment ratios for different PFTs, for some provinces and most cruises. These were consistent with previous observations. Generally there were no significant trends of mean TChla or pigment ratios within provinces over the period 1995–2005, although the previously reported perturbation due to the 1997–1998 ENSO was evident.","collection-title":"The Atlantic Meridional Transect Progamme","container-title":"Deep Sea Research Part II: Topical Studies in Oceanography","DOI":"10.1016/j.dsr2.2008.09.017","ISSN":"0967-0645","issue":"15","journalAbbreviation":"Deep Sea Research Part II: Topical Studies in Oceanography","page":"899-917","source":"ScienceDirect","title":"Phytoplankton pigments and functional types in the Atlantic Ocean: A decadal assessment, 1995–2005","title-short":"Phytoplankton pigments and functional types in the Atlantic Ocean","volume":"56","author":[{"family":"Aiken","given":"Jim"},{"family":"Pradhan","given":"Yaswant"},{"family":"Barlow","given":"Ray"},{"family":"Lavender","given":"Sam"},{"family":"Poulton","given":"Alex"},{"family":"Holligan","given":"Patrick"},{"family":"Hardman-Mountford","given":"Nick"}],"issued":{"date-parts":[["2009",7,1]]}}}],"schema":"https://github.com/citation-style-language/schema/raw/master/csl-citation.json"} </w:instrText>
            </w:r>
            <w:r w:rsidRPr="00D5003F">
              <w:rPr>
                <w:rFonts w:ascii="Aptos" w:hAnsi="Aptos"/>
                <w:sz w:val="20"/>
                <w:szCs w:val="20"/>
                <w:lang w:val="en-US"/>
              </w:rPr>
              <w:fldChar w:fldCharType="separate"/>
            </w:r>
            <w:r w:rsidRPr="00D5003F">
              <w:rPr>
                <w:rFonts w:ascii="Aptos" w:hAnsi="Aptos"/>
                <w:sz w:val="20"/>
                <w:szCs w:val="20"/>
                <w:lang w:val="en-US"/>
              </w:rPr>
              <w:t>(Aiken et al., 2009)</w:t>
            </w:r>
            <w:r w:rsidRPr="00D5003F">
              <w:rPr>
                <w:rFonts w:ascii="Aptos" w:hAnsi="Aptos"/>
                <w:sz w:val="20"/>
                <w:szCs w:val="20"/>
                <w:lang w:val="en-US"/>
              </w:rPr>
              <w:fldChar w:fldCharType="end"/>
            </w:r>
            <w:r w:rsidRPr="00D5003F">
              <w:rPr>
                <w:rFonts w:ascii="Aptos" w:hAnsi="Aptos"/>
                <w:sz w:val="20"/>
                <w:szCs w:val="20"/>
                <w:lang w:val="en-US"/>
              </w:rPr>
              <w:t xml:space="preserve">. Citation to uncertainties: </w:t>
            </w:r>
            <w:r w:rsidRPr="00D5003F">
              <w:rPr>
                <w:rFonts w:ascii="Aptos" w:hAnsi="Aptos"/>
                <w:sz w:val="20"/>
                <w:szCs w:val="20"/>
                <w:lang w:val="en-US"/>
              </w:rPr>
              <w:fldChar w:fldCharType="begin"/>
            </w:r>
            <w:r w:rsidRPr="00D5003F">
              <w:rPr>
                <w:rFonts w:ascii="Aptos" w:hAnsi="Aptos"/>
                <w:sz w:val="20"/>
                <w:szCs w:val="20"/>
                <w:lang w:val="en-US"/>
              </w:rPr>
              <w:instrText xml:space="preserve"> ADDIN ZOTERO_ITEM CSL_CITATION {"citationID":"9WfLeZsX","properties":{"formattedCitation":"(Bracher et al., 2015)","plainCitation":"(Bracher et al., 2015)","noteIndex":0},"citationItems":[{"id":2597,"uris":["http://zotero.org/users/13776053/items/4PDTR95S"],"itemData":{"id":2597,"type":"article-journal","abstract":"The composition and abundance of algal pigments provide information on phytoplankton community characteristics such as photoacclimation, overall biomass and taxonomic composition. In particular, pigments play a major role in photoprotection and in the light-driven part of photosynthesis. Most phytoplankton pigments can be measured by high-performance liquid chromatography (HPLC) techniques applied to filtered water samples. This method, as well as other laboratory analyses, is time consuming and therefore limits the number of samples that can be processed in a given time. In order to receive information on phytoplankton pigment composition with a higher temporal and spatial resolution, we have developed a method to assess pigment concentrations from continuous optical measurements. The method applies an empirical orthogonal function (EOF) analysis to remote-sensing reflectance data derived from ship-based hyperspectral underwater radiometry and from multispectral satellite data (using the Medium Resolution Imaging Spectrometer – MERIS – Polymer product developed by Steinmetz et al., 2011) measured in the Atlantic Ocean. Subsequently we developed multiple linear regression models with measured (collocated) pigment concentrations as the response variable and EOF loadings as predictor variables. The model results show that surface concentrations of a suite of pigments and pigment groups can be well predicted from the ship-based reflectance measurements, even when only a multispectral resolution is chosen (i.e., eight bands, similar to those used by MERIS). Based on the MERIS reflectance data, concentrations of total and monovinyl chlorophyll a and the groups of photopro</w:instrText>
            </w:r>
            <w:r w:rsidRPr="00D5003F">
              <w:rPr>
                <w:rFonts w:ascii="Aptos" w:hAnsi="Aptos"/>
                <w:sz w:val="20"/>
                <w:szCs w:val="20"/>
                <w:lang w:val="da-DK"/>
              </w:rPr>
              <w:instrText xml:space="preserve">tective and photosynthetic carotenoids can be predicted with high quality. As a demonstration of the utility of the approach, the fitted model based on satellite reflectance data as input was applied to 1 month of MERIS Polymer data to predict the concentration of those pigment groups for the whole eastern tropical Atlantic area. Bootstrapping explorations of cross-validation error indicate that the method can produce reliable predictions with relatively small data sets (e.g., &lt; 50 collocated values of reflectance and pigment concentration). The method allows for the derivation of time series from continuous reflectance data of various pigment groups at various regions, which can be used to study variability and change of phytoplankton composition and photophysiology.","container-title":"Ocean Science","DOI":"10.5194/os-11-139-2015","ISSN":"1812-0784","issue":"1","language":"English","note":"publisher: Copernicus GmbH","page":"139-158","source":"Copernicus Online Journals","title":"Using empirical orthogonal functions derived from remote-sensing reflectance for the prediction of phytoplankton pigment concentrations","volume":"11","author":[{"family":"Bracher","given":"A."},{"family":"Taylor","given":"M. H."},{"family":"Taylor","given":"B."},{"family":"Dinter","given":"T."},{"family":"Röttgers","given":"R."},{"family":"Steinmetz","given":"F."}],"issued":{"date-parts":[["2015",2,3]]}}}],"schema":"https://github.com/citation-style-language/schema/raw/master/csl-citation.json"} </w:instrText>
            </w:r>
            <w:r w:rsidRPr="00D5003F">
              <w:rPr>
                <w:rFonts w:ascii="Aptos" w:hAnsi="Aptos"/>
                <w:sz w:val="20"/>
                <w:szCs w:val="20"/>
                <w:lang w:val="en-US"/>
              </w:rPr>
              <w:fldChar w:fldCharType="separate"/>
            </w:r>
            <w:r w:rsidRPr="00D5003F">
              <w:rPr>
                <w:rFonts w:ascii="Aptos" w:hAnsi="Aptos"/>
                <w:sz w:val="20"/>
                <w:szCs w:val="20"/>
                <w:lang w:val="da-DK"/>
              </w:rPr>
              <w:t>(Bracher et al., 2015)</w:t>
            </w:r>
            <w:r w:rsidRPr="00D5003F">
              <w:rPr>
                <w:rFonts w:ascii="Aptos" w:hAnsi="Aptos"/>
                <w:sz w:val="20"/>
                <w:szCs w:val="20"/>
                <w:lang w:val="en-US"/>
              </w:rPr>
              <w:fldChar w:fldCharType="end"/>
            </w:r>
            <w:r w:rsidRPr="00D5003F">
              <w:rPr>
                <w:rFonts w:ascii="Aptos" w:hAnsi="Aptos"/>
                <w:sz w:val="20"/>
                <w:szCs w:val="20"/>
                <w:lang w:val="da-DK"/>
              </w:rPr>
              <w:t xml:space="preserve">, </w:t>
            </w:r>
            <w:r w:rsidRPr="00D5003F">
              <w:rPr>
                <w:rFonts w:ascii="Aptos" w:hAnsi="Aptos"/>
                <w:sz w:val="20"/>
                <w:szCs w:val="20"/>
                <w:lang w:val="en-US"/>
              </w:rPr>
              <w:fldChar w:fldCharType="begin"/>
            </w:r>
            <w:r w:rsidRPr="00D5003F">
              <w:rPr>
                <w:rFonts w:ascii="Aptos" w:hAnsi="Aptos"/>
                <w:sz w:val="20"/>
                <w:szCs w:val="20"/>
                <w:lang w:val="da-DK"/>
              </w:rPr>
              <w:instrText xml:space="preserve"> ADDIN ZOTERO_ITEM CSL_CITATION {"citationID":"SBXToou7","properties":{"formattedCitation":"(Zindler et al., 2013)","plainCitation":"(Zindler et al., 2013)","noteIndex":0},"citationItems":[{"id":2598,"uris":["http://zotero.org/users/13776053/items/6SW8T28T"],"itemData":{"id":2598,"type":"article-journal","abstract":"Here we present results of the first comprehensive study of sulphur compounds and methane in the oligotrophic tropical western Pacific Ocean. The concentrations of dimethylsuphide (DMS), dimethylsulphoniopropionate (DMSP), dimethylsulphoxide (DMSO), and methane (CH4), as well as various phytoplankton marker pigments in the surface ocean were measured along a north–south transit from Japan to Australia in October 2009. DMS (0.9 nmol L−1), dissolved DMSP (DMSPd, 1.6 nmol L−1) and particulate DMSP (DMSPp, 2 nmol L−1) concentrations were generally low, while dissolved DMSO (DMSOd, 4.4 nmol L−1) and particulate DMSO (DMSOp, 11.5 nmol L−1) concentrations were comparably enhanced. Positive correlations were found between DMSO and DMSP as well as DMSP and DMSO with chlorophyll a, which suggests a similar source for both compounds. Similar phytoplankton groups were identified as being important for the DMSO and DMSP pool, thus, the same algae taxa might produce both DMSP and DMSO. In contrast, phytoplankton seemed to play only a minor role for the DMS distribution in the western Pacific Ocean. The observed DMSPp : DMSOp ratios were very low and seem to be characteristic of oligotrophic tropical waters representing the extreme endpoint of the global DMSPp : DMSOp ratio vs SST relationship. It is most likely that nutrient limitation and oxidative stress in the tropical western Pacific Ocean triggered enhanced DMSO production leading to an accumulation of DMSO in the sea surface. Positive correlations between DMSPd and CH4, as well as between DMSO (particulate and total) and CH4, were found along the transit. We conclude that DMSP and DMSO and/or their degradation products might serve as potential substrates for CH4 production in the oxic surface layer of the western Pacific Ocean.","container-title":"Biogeosciences","DOI":"10.5194/bg-10-3297-2013","ISSN":"1726-4170","issue":"5","language":"English","note":"publisher: Copernicus GmbH","page":"3297-3311","source":"Copernicus Online Journals","title":"Sulphur compounds, methane, and phytoplankton: interactions along a north–south transit in the western Pacific Ocean","title-short":"Sulphur compounds, methane, and phytoplankton","volume":"10","author":[{"family":"Zindler","given":"C."},{"family":"Bracher","given":"A."},{"family":"Marandino","given":"C. A."},{"family":"Taylor","given":"B."},{"family":"Torrecilla","given":"E."},{"family":"Kock","given":"A."},{"family":"Bange","given":"H. W."}],"issued":{"date-parts":[["2013",5,16]]}}}],"schema":"https://github.com/citation-style-language/schema/raw/master/csl-citation.json"} </w:instrText>
            </w:r>
            <w:r w:rsidRPr="00D5003F">
              <w:rPr>
                <w:rFonts w:ascii="Aptos" w:hAnsi="Aptos"/>
                <w:sz w:val="20"/>
                <w:szCs w:val="20"/>
                <w:lang w:val="en-US"/>
              </w:rPr>
              <w:fldChar w:fldCharType="separate"/>
            </w:r>
            <w:r w:rsidRPr="00D5003F">
              <w:rPr>
                <w:rFonts w:ascii="Aptos" w:hAnsi="Aptos"/>
                <w:sz w:val="20"/>
                <w:szCs w:val="20"/>
                <w:lang w:val="da-DK"/>
              </w:rPr>
              <w:t>(Zindler et al., 2013)</w:t>
            </w:r>
            <w:r w:rsidRPr="00D5003F">
              <w:rPr>
                <w:rFonts w:ascii="Aptos" w:hAnsi="Aptos"/>
                <w:sz w:val="20"/>
                <w:szCs w:val="20"/>
                <w:lang w:val="en-US"/>
              </w:rPr>
              <w:fldChar w:fldCharType="end"/>
            </w:r>
            <w:r w:rsidRPr="00D5003F">
              <w:rPr>
                <w:rFonts w:ascii="Aptos" w:hAnsi="Aptos"/>
                <w:sz w:val="20"/>
                <w:szCs w:val="20"/>
                <w:lang w:val="da-DK"/>
              </w:rPr>
              <w:t xml:space="preserve">, </w:t>
            </w:r>
            <w:r w:rsidRPr="00D5003F">
              <w:rPr>
                <w:rFonts w:ascii="Aptos" w:hAnsi="Aptos"/>
                <w:sz w:val="20"/>
                <w:szCs w:val="20"/>
                <w:lang w:val="en-US"/>
              </w:rPr>
              <w:fldChar w:fldCharType="begin"/>
            </w:r>
            <w:r w:rsidRPr="00D5003F">
              <w:rPr>
                <w:rFonts w:ascii="Aptos" w:hAnsi="Aptos"/>
                <w:sz w:val="20"/>
                <w:szCs w:val="20"/>
                <w:lang w:val="da-DK"/>
              </w:rPr>
              <w:instrText xml:space="preserve"> ADDIN ZOTERO_ITEM CSL_CITATION {"citationID":"WJJo1XMv","properties":{"formattedCitation":"(Tilstone et al., 2020)","plainCitation":"(Tilstone et al., 2020)","noteIndex":0},"citationItems":[{"id":2599,"uris":["http://zotero.org/users/13776053/items/BA6RXUT3"],"itemData":{"id":2599,"type":"article-journal","abstract":"A field intercomparison was conducted at the Acqua Alta Oceanographic Tower (AAOT) in the northern Adriatic Sea, from 9 to 19 July 2018 to assess diff...","container-title":"Remote Sensing","DOI":"10.3390/rs12101587","ISSN":"2072-4292","issue":"10","language":"en","license":"http://creativecommons.org/licenses/by/3.0/","note":"publisher: Multidisciplinary Digital Publishing Institute","source":"www.mdpi.com","title":"Field Intercomparison of Radiometer Measurements for Ocean Colour Validation","URL":"https://www.mdpi.com/2072-4292/12/10/1587","volume":"12","author":[{"family":"Tilstone","given":"Gavin"},{"family":"Dall’Olmo","given":"Giorgio"},{"family":"Hieronymi","given":"Martin"},{"family":"Ruddick","given":"Kevin"},{"family":"Beck","given":"Matthew"},{"family":"Ligi","given":"Martin"},{"family":"Costa","given":"Maycira"},{"family":"D’Alimonte","given":"Davide"},{"family":"Vellucci","given":"Vincenzo"},{"family":"Vansteenwegen","given":"Dieter"},{"family":"Bracher","given":"Astrid"},{"family":"Wiegmann","given":"Sonja"},{"family":"Kuusk","given":"Joel"},{"family":"Vabson","given":"Viktor"},{"family":"Ansko","given":"Ilmar"},{"family":"Vendt","given":"Riho"},{"family":"Donlon","given":"Craig"},{"family":"Casal","given":"Tânia"}],"accessed":{"date-parts":[["2026",5,21]]},"issued":{"date-parts":[["2020",5,15]]}}}],"schema":"https://github.com/citation-style-language/schema/raw/master/csl-citation.json"} </w:instrText>
            </w:r>
            <w:r w:rsidRPr="00D5003F">
              <w:rPr>
                <w:rFonts w:ascii="Aptos" w:hAnsi="Aptos"/>
                <w:sz w:val="20"/>
                <w:szCs w:val="20"/>
                <w:lang w:val="en-US"/>
              </w:rPr>
              <w:fldChar w:fldCharType="separate"/>
            </w:r>
            <w:r w:rsidRPr="00D5003F">
              <w:rPr>
                <w:rFonts w:ascii="Aptos" w:hAnsi="Aptos"/>
                <w:sz w:val="20"/>
                <w:szCs w:val="20"/>
                <w:lang w:val="da-DK"/>
              </w:rPr>
              <w:t>(Tilstone et al., 2020)</w:t>
            </w:r>
            <w:r w:rsidRPr="00D5003F">
              <w:rPr>
                <w:rFonts w:ascii="Aptos" w:hAnsi="Aptos"/>
                <w:sz w:val="20"/>
                <w:szCs w:val="20"/>
                <w:lang w:val="en-US"/>
              </w:rPr>
              <w:fldChar w:fldCharType="end"/>
            </w:r>
          </w:p>
          <w:p w14:paraId="4D83CB05" w14:textId="1E294FD6" w:rsidR="005C36ED" w:rsidRPr="00D5003F" w:rsidRDefault="005C36ED">
            <w:pPr>
              <w:widowControl w:val="0"/>
              <w:pBdr>
                <w:top w:val="nil"/>
                <w:left w:val="nil"/>
                <w:bottom w:val="nil"/>
                <w:right w:val="nil"/>
                <w:between w:val="nil"/>
              </w:pBdr>
              <w:spacing w:line="240" w:lineRule="auto"/>
              <w:rPr>
                <w:rFonts w:ascii="Aptos" w:hAnsi="Aptos"/>
                <w:sz w:val="20"/>
                <w:szCs w:val="20"/>
                <w:lang w:val="da-DK"/>
              </w:rPr>
            </w:pPr>
          </w:p>
          <w:p w14:paraId="570BC2A3" w14:textId="6910EBF7" w:rsidR="00182AEB" w:rsidRPr="00D5003F" w:rsidRDefault="00182AEB" w:rsidP="00BA7954">
            <w:pPr>
              <w:widowControl w:val="0"/>
              <w:pBdr>
                <w:top w:val="nil"/>
                <w:left w:val="nil"/>
                <w:bottom w:val="nil"/>
                <w:right w:val="nil"/>
                <w:between w:val="nil"/>
              </w:pBdr>
              <w:spacing w:line="240" w:lineRule="auto"/>
              <w:rPr>
                <w:rFonts w:ascii="Aptos" w:hAnsi="Aptos"/>
                <w:sz w:val="20"/>
                <w:szCs w:val="20"/>
                <w:lang w:val="da-DK"/>
              </w:rPr>
            </w:pPr>
          </w:p>
        </w:tc>
      </w:tr>
      <w:tr w:rsidR="00C62C41" w:rsidRPr="00D5003F" w14:paraId="1107C9B9" w14:textId="77777777">
        <w:trPr>
          <w:jc w:val="center"/>
        </w:trPr>
        <w:tc>
          <w:tcPr>
            <w:tcW w:w="1449" w:type="dxa"/>
            <w:tcMar>
              <w:top w:w="100" w:type="dxa"/>
              <w:left w:w="100" w:type="dxa"/>
              <w:bottom w:w="100" w:type="dxa"/>
              <w:right w:w="100" w:type="dxa"/>
            </w:tcMar>
          </w:tcPr>
          <w:p w14:paraId="451D41CF" w14:textId="77777777" w:rsidR="00C62C41" w:rsidRPr="00D5003F" w:rsidRDefault="00B35C73">
            <w:pPr>
              <w:widowControl w:val="0"/>
              <w:spacing w:line="240" w:lineRule="auto"/>
              <w:rPr>
                <w:rFonts w:ascii="Aptos" w:hAnsi="Aptos"/>
                <w:sz w:val="20"/>
                <w:szCs w:val="20"/>
              </w:rPr>
            </w:pPr>
            <w:r w:rsidRPr="00D5003F">
              <w:rPr>
                <w:rFonts w:ascii="Aptos" w:hAnsi="Aptos"/>
                <w:sz w:val="20"/>
                <w:szCs w:val="20"/>
              </w:rPr>
              <w:t>LIU_2016_PS99.1</w:t>
            </w:r>
          </w:p>
        </w:tc>
        <w:tc>
          <w:tcPr>
            <w:tcW w:w="2161" w:type="dxa"/>
            <w:tcMar>
              <w:top w:w="100" w:type="dxa"/>
              <w:left w:w="100" w:type="dxa"/>
              <w:bottom w:w="100" w:type="dxa"/>
              <w:right w:w="100" w:type="dxa"/>
            </w:tcMar>
          </w:tcPr>
          <w:p w14:paraId="0E727DD7" w14:textId="77777777" w:rsidR="00C62C41" w:rsidRPr="00D5003F" w:rsidRDefault="00B35C73">
            <w:pPr>
              <w:widowControl w:val="0"/>
              <w:pBdr>
                <w:top w:val="nil"/>
                <w:left w:val="nil"/>
                <w:bottom w:val="nil"/>
                <w:right w:val="nil"/>
                <w:between w:val="nil"/>
              </w:pBdr>
              <w:spacing w:line="240" w:lineRule="auto"/>
              <w:rPr>
                <w:rFonts w:ascii="Aptos" w:hAnsi="Aptos"/>
                <w:sz w:val="20"/>
                <w:szCs w:val="20"/>
              </w:rPr>
            </w:pPr>
            <w:r w:rsidRPr="00D5003F">
              <w:rPr>
                <w:rFonts w:ascii="Aptos" w:hAnsi="Aptos"/>
                <w:sz w:val="20"/>
                <w:szCs w:val="20"/>
              </w:rPr>
              <w:t>as LIU_2015_PS93.2</w:t>
            </w:r>
          </w:p>
        </w:tc>
        <w:tc>
          <w:tcPr>
            <w:tcW w:w="1944" w:type="dxa"/>
            <w:tcMar>
              <w:top w:w="100" w:type="dxa"/>
              <w:left w:w="100" w:type="dxa"/>
              <w:bottom w:w="100" w:type="dxa"/>
              <w:right w:w="100" w:type="dxa"/>
            </w:tcMar>
          </w:tcPr>
          <w:p w14:paraId="59525A33" w14:textId="77777777" w:rsidR="00C62C41" w:rsidRPr="00D5003F" w:rsidRDefault="00B35C73">
            <w:pPr>
              <w:widowControl w:val="0"/>
              <w:spacing w:line="240" w:lineRule="auto"/>
              <w:rPr>
                <w:rFonts w:ascii="Aptos" w:hAnsi="Aptos"/>
                <w:sz w:val="20"/>
                <w:szCs w:val="20"/>
              </w:rPr>
            </w:pPr>
            <w:r w:rsidRPr="00D5003F">
              <w:rPr>
                <w:rFonts w:ascii="Aptos" w:hAnsi="Aptos"/>
                <w:sz w:val="20"/>
                <w:szCs w:val="20"/>
              </w:rPr>
              <w:t>as LIU_2015_PS93.2</w:t>
            </w:r>
          </w:p>
        </w:tc>
        <w:tc>
          <w:tcPr>
            <w:tcW w:w="1775" w:type="dxa"/>
            <w:tcMar>
              <w:top w:w="100" w:type="dxa"/>
              <w:left w:w="100" w:type="dxa"/>
              <w:bottom w:w="100" w:type="dxa"/>
              <w:right w:w="100" w:type="dxa"/>
            </w:tcMar>
          </w:tcPr>
          <w:p w14:paraId="475B401A" w14:textId="77777777" w:rsidR="00C62C41" w:rsidRPr="00D5003F" w:rsidRDefault="00B35C73">
            <w:pPr>
              <w:widowControl w:val="0"/>
              <w:spacing w:line="240" w:lineRule="auto"/>
              <w:rPr>
                <w:rFonts w:ascii="Aptos" w:hAnsi="Aptos"/>
                <w:sz w:val="20"/>
                <w:szCs w:val="20"/>
              </w:rPr>
            </w:pPr>
            <w:r w:rsidRPr="00D5003F">
              <w:rPr>
                <w:rFonts w:ascii="Aptos" w:hAnsi="Aptos"/>
                <w:sz w:val="20"/>
                <w:szCs w:val="20"/>
              </w:rPr>
              <w:t>as LIU_2015_PS93.2</w:t>
            </w:r>
          </w:p>
        </w:tc>
        <w:tc>
          <w:tcPr>
            <w:tcW w:w="1775" w:type="dxa"/>
            <w:tcMar>
              <w:top w:w="100" w:type="dxa"/>
              <w:left w:w="100" w:type="dxa"/>
              <w:bottom w:w="100" w:type="dxa"/>
              <w:right w:w="100" w:type="dxa"/>
            </w:tcMar>
          </w:tcPr>
          <w:p w14:paraId="12B6FCAA" w14:textId="77777777" w:rsidR="00C62C41" w:rsidRPr="00D5003F" w:rsidRDefault="00B35C73">
            <w:pPr>
              <w:widowControl w:val="0"/>
              <w:spacing w:line="240" w:lineRule="auto"/>
              <w:rPr>
                <w:rFonts w:ascii="Aptos" w:hAnsi="Aptos"/>
                <w:sz w:val="20"/>
                <w:szCs w:val="20"/>
              </w:rPr>
            </w:pPr>
            <w:r w:rsidRPr="00D5003F">
              <w:rPr>
                <w:rFonts w:ascii="Aptos" w:hAnsi="Aptos"/>
                <w:sz w:val="20"/>
                <w:szCs w:val="20"/>
              </w:rPr>
              <w:t>as LIU_2015_PS93.2</w:t>
            </w:r>
          </w:p>
        </w:tc>
      </w:tr>
      <w:tr w:rsidR="00C62C41" w:rsidRPr="00D5003F" w14:paraId="71625149" w14:textId="77777777">
        <w:trPr>
          <w:jc w:val="center"/>
        </w:trPr>
        <w:tc>
          <w:tcPr>
            <w:tcW w:w="1449" w:type="dxa"/>
            <w:tcMar>
              <w:top w:w="100" w:type="dxa"/>
              <w:left w:w="100" w:type="dxa"/>
              <w:bottom w:w="100" w:type="dxa"/>
              <w:right w:w="100" w:type="dxa"/>
            </w:tcMar>
          </w:tcPr>
          <w:p w14:paraId="72D26804" w14:textId="77777777" w:rsidR="00C62C41" w:rsidRPr="00D5003F" w:rsidRDefault="00B35C73">
            <w:pPr>
              <w:widowControl w:val="0"/>
              <w:spacing w:line="240" w:lineRule="auto"/>
              <w:rPr>
                <w:rFonts w:ascii="Aptos" w:hAnsi="Aptos"/>
                <w:sz w:val="20"/>
                <w:szCs w:val="20"/>
              </w:rPr>
            </w:pPr>
            <w:r w:rsidRPr="00D5003F">
              <w:rPr>
                <w:rFonts w:ascii="Aptos" w:hAnsi="Aptos"/>
                <w:sz w:val="20"/>
                <w:szCs w:val="20"/>
              </w:rPr>
              <w:t>BRACHER_2017_PS107</w:t>
            </w:r>
          </w:p>
        </w:tc>
        <w:tc>
          <w:tcPr>
            <w:tcW w:w="2161" w:type="dxa"/>
            <w:tcMar>
              <w:top w:w="100" w:type="dxa"/>
              <w:left w:w="100" w:type="dxa"/>
              <w:bottom w:w="100" w:type="dxa"/>
              <w:right w:w="100" w:type="dxa"/>
            </w:tcMar>
          </w:tcPr>
          <w:p w14:paraId="0CED48EF" w14:textId="77777777" w:rsidR="00C62C41" w:rsidRPr="00D5003F" w:rsidRDefault="00B35C73">
            <w:pPr>
              <w:widowControl w:val="0"/>
              <w:spacing w:line="240" w:lineRule="auto"/>
              <w:rPr>
                <w:rFonts w:ascii="Aptos" w:hAnsi="Aptos"/>
                <w:sz w:val="20"/>
                <w:szCs w:val="20"/>
              </w:rPr>
            </w:pPr>
            <w:r w:rsidRPr="00D5003F">
              <w:rPr>
                <w:rFonts w:ascii="Aptos" w:hAnsi="Aptos"/>
                <w:sz w:val="20"/>
                <w:szCs w:val="20"/>
              </w:rPr>
              <w:t>as LIU_2015_PS93.2</w:t>
            </w:r>
          </w:p>
        </w:tc>
        <w:tc>
          <w:tcPr>
            <w:tcW w:w="1944" w:type="dxa"/>
            <w:tcMar>
              <w:top w:w="100" w:type="dxa"/>
              <w:left w:w="100" w:type="dxa"/>
              <w:bottom w:w="100" w:type="dxa"/>
              <w:right w:w="100" w:type="dxa"/>
            </w:tcMar>
          </w:tcPr>
          <w:p w14:paraId="0613A676" w14:textId="77777777" w:rsidR="00C62C41" w:rsidRPr="00D5003F" w:rsidRDefault="00B35C73">
            <w:pPr>
              <w:widowControl w:val="0"/>
              <w:spacing w:line="240" w:lineRule="auto"/>
              <w:rPr>
                <w:rFonts w:ascii="Aptos" w:hAnsi="Aptos"/>
                <w:sz w:val="20"/>
                <w:szCs w:val="20"/>
              </w:rPr>
            </w:pPr>
            <w:r w:rsidRPr="00D5003F">
              <w:rPr>
                <w:rFonts w:ascii="Aptos" w:hAnsi="Aptos"/>
                <w:sz w:val="20"/>
                <w:szCs w:val="20"/>
              </w:rPr>
              <w:t>as LIU_2015_PS93.2</w:t>
            </w:r>
          </w:p>
        </w:tc>
        <w:tc>
          <w:tcPr>
            <w:tcW w:w="1775" w:type="dxa"/>
            <w:tcMar>
              <w:top w:w="100" w:type="dxa"/>
              <w:left w:w="100" w:type="dxa"/>
              <w:bottom w:w="100" w:type="dxa"/>
              <w:right w:w="100" w:type="dxa"/>
            </w:tcMar>
          </w:tcPr>
          <w:p w14:paraId="3AE5A1BC" w14:textId="77777777" w:rsidR="00C62C41" w:rsidRPr="00D5003F" w:rsidRDefault="00B35C73">
            <w:pPr>
              <w:widowControl w:val="0"/>
              <w:spacing w:line="240" w:lineRule="auto"/>
              <w:rPr>
                <w:rFonts w:ascii="Aptos" w:hAnsi="Aptos"/>
                <w:sz w:val="20"/>
                <w:szCs w:val="20"/>
              </w:rPr>
            </w:pPr>
            <w:r w:rsidRPr="00D5003F">
              <w:rPr>
                <w:rFonts w:ascii="Aptos" w:hAnsi="Aptos"/>
                <w:sz w:val="20"/>
                <w:szCs w:val="20"/>
              </w:rPr>
              <w:t>as LIU_2015_PS93.2</w:t>
            </w:r>
          </w:p>
        </w:tc>
        <w:tc>
          <w:tcPr>
            <w:tcW w:w="1775" w:type="dxa"/>
            <w:tcMar>
              <w:top w:w="100" w:type="dxa"/>
              <w:left w:w="100" w:type="dxa"/>
              <w:bottom w:w="100" w:type="dxa"/>
              <w:right w:w="100" w:type="dxa"/>
            </w:tcMar>
          </w:tcPr>
          <w:p w14:paraId="167A6ADD" w14:textId="77777777" w:rsidR="00C62C41" w:rsidRPr="00D5003F" w:rsidRDefault="00B35C73">
            <w:pPr>
              <w:widowControl w:val="0"/>
              <w:spacing w:line="240" w:lineRule="auto"/>
              <w:rPr>
                <w:rFonts w:ascii="Aptos" w:hAnsi="Aptos"/>
                <w:sz w:val="20"/>
                <w:szCs w:val="20"/>
              </w:rPr>
            </w:pPr>
            <w:r w:rsidRPr="00D5003F">
              <w:rPr>
                <w:rFonts w:ascii="Aptos" w:hAnsi="Aptos"/>
                <w:sz w:val="20"/>
                <w:szCs w:val="20"/>
              </w:rPr>
              <w:t>as LIU_2015_PS93.2</w:t>
            </w:r>
          </w:p>
        </w:tc>
      </w:tr>
      <w:tr w:rsidR="00C62C41" w:rsidRPr="00D5003F" w14:paraId="33BEB8B6" w14:textId="77777777">
        <w:trPr>
          <w:jc w:val="center"/>
        </w:trPr>
        <w:tc>
          <w:tcPr>
            <w:tcW w:w="1449" w:type="dxa"/>
            <w:tcMar>
              <w:top w:w="100" w:type="dxa"/>
              <w:left w:w="100" w:type="dxa"/>
              <w:bottom w:w="100" w:type="dxa"/>
              <w:right w:w="100" w:type="dxa"/>
            </w:tcMar>
          </w:tcPr>
          <w:p w14:paraId="63D555C7" w14:textId="77777777" w:rsidR="00C62C41" w:rsidRPr="00D5003F" w:rsidRDefault="00B35C73">
            <w:pPr>
              <w:widowControl w:val="0"/>
              <w:pBdr>
                <w:top w:val="nil"/>
                <w:left w:val="nil"/>
                <w:bottom w:val="nil"/>
                <w:right w:val="nil"/>
                <w:between w:val="nil"/>
              </w:pBdr>
              <w:spacing w:line="240" w:lineRule="auto"/>
              <w:rPr>
                <w:rFonts w:ascii="Aptos" w:hAnsi="Aptos"/>
                <w:sz w:val="20"/>
                <w:szCs w:val="20"/>
              </w:rPr>
            </w:pPr>
            <w:r w:rsidRPr="00D5003F">
              <w:rPr>
                <w:rFonts w:ascii="Aptos" w:hAnsi="Aptos"/>
                <w:sz w:val="20"/>
                <w:szCs w:val="20"/>
              </w:rPr>
              <w:t xml:space="preserve">LIU_2016_PS99.2 </w:t>
            </w:r>
          </w:p>
        </w:tc>
        <w:tc>
          <w:tcPr>
            <w:tcW w:w="2161" w:type="dxa"/>
            <w:tcMar>
              <w:top w:w="100" w:type="dxa"/>
              <w:left w:w="100" w:type="dxa"/>
              <w:bottom w:w="100" w:type="dxa"/>
              <w:right w:w="100" w:type="dxa"/>
            </w:tcMar>
          </w:tcPr>
          <w:p w14:paraId="0A48A1AA" w14:textId="77777777" w:rsidR="00C62C41" w:rsidRPr="00D5003F" w:rsidRDefault="00B35C73">
            <w:pPr>
              <w:widowControl w:val="0"/>
              <w:spacing w:line="240" w:lineRule="auto"/>
              <w:rPr>
                <w:rFonts w:ascii="Aptos" w:hAnsi="Aptos"/>
                <w:sz w:val="20"/>
                <w:szCs w:val="20"/>
              </w:rPr>
            </w:pPr>
            <w:r w:rsidRPr="00D5003F">
              <w:rPr>
                <w:rFonts w:ascii="Aptos" w:hAnsi="Aptos"/>
                <w:sz w:val="20"/>
                <w:szCs w:val="20"/>
              </w:rPr>
              <w:t>as LIU_2015_PS93.2</w:t>
            </w:r>
          </w:p>
        </w:tc>
        <w:tc>
          <w:tcPr>
            <w:tcW w:w="1944" w:type="dxa"/>
            <w:tcMar>
              <w:top w:w="100" w:type="dxa"/>
              <w:left w:w="100" w:type="dxa"/>
              <w:bottom w:w="100" w:type="dxa"/>
              <w:right w:w="100" w:type="dxa"/>
            </w:tcMar>
          </w:tcPr>
          <w:p w14:paraId="1F6EBF97" w14:textId="77777777" w:rsidR="00C62C41" w:rsidRPr="00D5003F" w:rsidRDefault="00B35C73">
            <w:pPr>
              <w:widowControl w:val="0"/>
              <w:spacing w:line="240" w:lineRule="auto"/>
              <w:rPr>
                <w:rFonts w:ascii="Aptos" w:hAnsi="Aptos"/>
                <w:sz w:val="20"/>
                <w:szCs w:val="20"/>
              </w:rPr>
            </w:pPr>
            <w:r w:rsidRPr="00D5003F">
              <w:rPr>
                <w:rFonts w:ascii="Aptos" w:hAnsi="Aptos"/>
                <w:sz w:val="20"/>
                <w:szCs w:val="20"/>
              </w:rPr>
              <w:t>as LIU_2015_PS93.2</w:t>
            </w:r>
          </w:p>
        </w:tc>
        <w:tc>
          <w:tcPr>
            <w:tcW w:w="1775" w:type="dxa"/>
            <w:tcMar>
              <w:top w:w="100" w:type="dxa"/>
              <w:left w:w="100" w:type="dxa"/>
              <w:bottom w:w="100" w:type="dxa"/>
              <w:right w:w="100" w:type="dxa"/>
            </w:tcMar>
          </w:tcPr>
          <w:p w14:paraId="76B8CC9C" w14:textId="77777777" w:rsidR="00C62C41" w:rsidRPr="00D5003F" w:rsidRDefault="00B35C73">
            <w:pPr>
              <w:widowControl w:val="0"/>
              <w:spacing w:line="240" w:lineRule="auto"/>
              <w:rPr>
                <w:rFonts w:ascii="Aptos" w:hAnsi="Aptos"/>
                <w:sz w:val="20"/>
                <w:szCs w:val="20"/>
              </w:rPr>
            </w:pPr>
            <w:r w:rsidRPr="00D5003F">
              <w:rPr>
                <w:rFonts w:ascii="Aptos" w:hAnsi="Aptos"/>
                <w:sz w:val="20"/>
                <w:szCs w:val="20"/>
              </w:rPr>
              <w:t>as LIU_2015_PS93.2</w:t>
            </w:r>
          </w:p>
        </w:tc>
        <w:tc>
          <w:tcPr>
            <w:tcW w:w="1775" w:type="dxa"/>
            <w:tcMar>
              <w:top w:w="100" w:type="dxa"/>
              <w:left w:w="100" w:type="dxa"/>
              <w:bottom w:w="100" w:type="dxa"/>
              <w:right w:w="100" w:type="dxa"/>
            </w:tcMar>
          </w:tcPr>
          <w:p w14:paraId="2A8E64D3" w14:textId="77777777" w:rsidR="00C62C41" w:rsidRPr="00D5003F" w:rsidRDefault="00B35C73">
            <w:pPr>
              <w:widowControl w:val="0"/>
              <w:spacing w:line="240" w:lineRule="auto"/>
              <w:rPr>
                <w:rFonts w:ascii="Aptos" w:hAnsi="Aptos"/>
                <w:sz w:val="20"/>
                <w:szCs w:val="20"/>
              </w:rPr>
            </w:pPr>
            <w:r w:rsidRPr="00D5003F">
              <w:rPr>
                <w:rFonts w:ascii="Aptos" w:hAnsi="Aptos"/>
                <w:sz w:val="20"/>
                <w:szCs w:val="20"/>
              </w:rPr>
              <w:t>as LIU_2015_PS93.2</w:t>
            </w:r>
          </w:p>
        </w:tc>
      </w:tr>
      <w:tr w:rsidR="00C62C41" w:rsidRPr="00D5003F" w14:paraId="36BF96CD" w14:textId="77777777">
        <w:trPr>
          <w:jc w:val="center"/>
        </w:trPr>
        <w:tc>
          <w:tcPr>
            <w:tcW w:w="1449" w:type="dxa"/>
            <w:tcMar>
              <w:top w:w="100" w:type="dxa"/>
              <w:left w:w="100" w:type="dxa"/>
              <w:bottom w:w="100" w:type="dxa"/>
              <w:right w:w="100" w:type="dxa"/>
            </w:tcMar>
          </w:tcPr>
          <w:p w14:paraId="36C0F197" w14:textId="77777777" w:rsidR="00C62C41" w:rsidRPr="00D5003F" w:rsidRDefault="00B35C73">
            <w:pPr>
              <w:widowControl w:val="0"/>
              <w:spacing w:line="240" w:lineRule="auto"/>
              <w:rPr>
                <w:rFonts w:ascii="Aptos" w:hAnsi="Aptos"/>
                <w:sz w:val="20"/>
                <w:szCs w:val="20"/>
              </w:rPr>
            </w:pPr>
            <w:r w:rsidRPr="00D5003F">
              <w:rPr>
                <w:rFonts w:ascii="Aptos" w:hAnsi="Aptos"/>
                <w:sz w:val="20"/>
                <w:szCs w:val="20"/>
              </w:rPr>
              <w:t>BRACHER_2019_PS121</w:t>
            </w:r>
          </w:p>
        </w:tc>
        <w:tc>
          <w:tcPr>
            <w:tcW w:w="2161" w:type="dxa"/>
            <w:tcMar>
              <w:top w:w="100" w:type="dxa"/>
              <w:left w:w="100" w:type="dxa"/>
              <w:bottom w:w="100" w:type="dxa"/>
              <w:right w:w="100" w:type="dxa"/>
            </w:tcMar>
          </w:tcPr>
          <w:p w14:paraId="2300EEAC" w14:textId="77777777" w:rsidR="00C62C41" w:rsidRPr="00D5003F" w:rsidRDefault="00B35C73">
            <w:pPr>
              <w:widowControl w:val="0"/>
              <w:spacing w:line="240" w:lineRule="auto"/>
              <w:rPr>
                <w:rFonts w:ascii="Aptos" w:eastAsia="Calibri" w:hAnsi="Aptos" w:cs="Calibri"/>
                <w:sz w:val="20"/>
                <w:szCs w:val="20"/>
                <w:lang w:val="en-US"/>
              </w:rPr>
            </w:pPr>
            <w:proofErr w:type="gramStart"/>
            <w:r w:rsidRPr="00D5003F">
              <w:rPr>
                <w:rFonts w:ascii="Aptos" w:eastAsia="Calibri" w:hAnsi="Aptos" w:cs="Calibri"/>
                <w:sz w:val="20"/>
                <w:szCs w:val="20"/>
                <w:lang w:val="en-US"/>
              </w:rPr>
              <w:t>Waters</w:t>
            </w:r>
            <w:proofErr w:type="gramEnd"/>
            <w:r w:rsidRPr="00D5003F">
              <w:rPr>
                <w:rFonts w:ascii="Aptos" w:eastAsia="Calibri" w:hAnsi="Aptos" w:cs="Calibri"/>
                <w:sz w:val="20"/>
                <w:szCs w:val="20"/>
                <w:lang w:val="en-US"/>
              </w:rPr>
              <w:t xml:space="preserve"> e</w:t>
            </w:r>
            <w:proofErr w:type="gramStart"/>
            <w:r w:rsidRPr="00D5003F">
              <w:rPr>
                <w:rFonts w:ascii="Aptos" w:eastAsia="Calibri" w:hAnsi="Aptos" w:cs="Calibri"/>
                <w:sz w:val="20"/>
                <w:szCs w:val="20"/>
                <w:lang w:val="en-US"/>
              </w:rPr>
              <w:t>2695:pump</w:t>
            </w:r>
            <w:proofErr w:type="gramEnd"/>
            <w:r w:rsidRPr="00D5003F">
              <w:rPr>
                <w:rFonts w:ascii="Aptos" w:eastAsia="Calibri" w:hAnsi="Aptos" w:cs="Calibri"/>
                <w:sz w:val="20"/>
                <w:szCs w:val="20"/>
                <w:lang w:val="en-US"/>
              </w:rPr>
              <w:t>, column, autosampler, degasser</w:t>
            </w:r>
          </w:p>
          <w:p w14:paraId="75D0F487" w14:textId="77777777" w:rsidR="00C62C41" w:rsidRPr="00D5003F" w:rsidRDefault="00B35C73">
            <w:pPr>
              <w:widowControl w:val="0"/>
              <w:spacing w:line="240" w:lineRule="auto"/>
              <w:rPr>
                <w:rFonts w:ascii="Aptos" w:eastAsia="Calibri" w:hAnsi="Aptos" w:cs="Calibri"/>
                <w:sz w:val="20"/>
                <w:szCs w:val="20"/>
                <w:lang w:val="en-US"/>
              </w:rPr>
            </w:pPr>
            <w:r w:rsidRPr="00D5003F">
              <w:rPr>
                <w:rFonts w:ascii="Aptos" w:eastAsia="Calibri" w:hAnsi="Aptos" w:cs="Calibri"/>
                <w:sz w:val="20"/>
                <w:szCs w:val="20"/>
                <w:lang w:val="en-US"/>
              </w:rPr>
              <w:t xml:space="preserve">Waters PDA 2998 (ex. 190-800 nm, 1.2 nm </w:t>
            </w:r>
            <w:proofErr w:type="spellStart"/>
            <w:r w:rsidRPr="00D5003F">
              <w:rPr>
                <w:rFonts w:ascii="Aptos" w:eastAsia="Calibri" w:hAnsi="Aptos" w:cs="Calibri"/>
                <w:sz w:val="20"/>
                <w:szCs w:val="20"/>
                <w:lang w:val="en-US"/>
              </w:rPr>
              <w:t>resol</w:t>
            </w:r>
            <w:proofErr w:type="spellEnd"/>
            <w:r w:rsidRPr="00D5003F">
              <w:rPr>
                <w:rFonts w:ascii="Aptos" w:eastAsia="Calibri" w:hAnsi="Aptos" w:cs="Calibri"/>
                <w:sz w:val="20"/>
                <w:szCs w:val="20"/>
                <w:lang w:val="en-US"/>
              </w:rPr>
              <w:t>.)</w:t>
            </w:r>
          </w:p>
          <w:p w14:paraId="6C41DA26" w14:textId="77777777" w:rsidR="00C62C41" w:rsidRPr="00D5003F" w:rsidRDefault="00B35C73">
            <w:pPr>
              <w:widowControl w:val="0"/>
              <w:spacing w:line="240" w:lineRule="auto"/>
              <w:rPr>
                <w:rFonts w:ascii="Aptos" w:eastAsia="Calibri" w:hAnsi="Aptos" w:cs="Calibri"/>
                <w:sz w:val="20"/>
                <w:szCs w:val="20"/>
                <w:lang w:val="en-US"/>
              </w:rPr>
            </w:pPr>
            <w:r w:rsidRPr="00D5003F">
              <w:rPr>
                <w:rFonts w:ascii="Aptos" w:eastAsia="Calibri" w:hAnsi="Aptos" w:cs="Calibri"/>
                <w:sz w:val="20"/>
                <w:szCs w:val="20"/>
                <w:lang w:val="en-US"/>
              </w:rPr>
              <w:t xml:space="preserve">HPLC-column: </w:t>
            </w:r>
            <w:proofErr w:type="spellStart"/>
            <w:r w:rsidRPr="00D5003F">
              <w:rPr>
                <w:rFonts w:ascii="Aptos" w:eastAsia="Calibri" w:hAnsi="Aptos" w:cs="Calibri"/>
                <w:sz w:val="20"/>
                <w:szCs w:val="20"/>
                <w:lang w:val="en-US"/>
              </w:rPr>
              <w:t>Microsorb</w:t>
            </w:r>
            <w:proofErr w:type="spellEnd"/>
            <w:r w:rsidRPr="00D5003F">
              <w:rPr>
                <w:rFonts w:ascii="Aptos" w:eastAsia="Calibri" w:hAnsi="Aptos" w:cs="Calibri"/>
                <w:sz w:val="20"/>
                <w:szCs w:val="20"/>
                <w:lang w:val="en-US"/>
              </w:rPr>
              <w:t>-MV C8</w:t>
            </w:r>
          </w:p>
          <w:p w14:paraId="355ACE6E" w14:textId="77777777" w:rsidR="00C62C41" w:rsidRPr="00D5003F" w:rsidRDefault="00B35C73">
            <w:pPr>
              <w:widowControl w:val="0"/>
              <w:spacing w:line="240" w:lineRule="auto"/>
              <w:rPr>
                <w:rFonts w:ascii="Aptos" w:eastAsia="Calibri" w:hAnsi="Aptos" w:cs="Calibri"/>
                <w:sz w:val="20"/>
                <w:szCs w:val="20"/>
                <w:lang w:val="en-US"/>
              </w:rPr>
            </w:pPr>
            <w:r w:rsidRPr="00D5003F">
              <w:rPr>
                <w:rFonts w:ascii="Aptos" w:eastAsia="Calibri" w:hAnsi="Aptos" w:cs="Calibri"/>
                <w:sz w:val="20"/>
                <w:szCs w:val="20"/>
                <w:lang w:val="en-US"/>
              </w:rPr>
              <w:t>Software: EMPOWER 3</w:t>
            </w:r>
          </w:p>
          <w:p w14:paraId="77AE17B7" w14:textId="77777777" w:rsidR="00C62C41" w:rsidRPr="00D5003F" w:rsidRDefault="00C62C41">
            <w:pPr>
              <w:widowControl w:val="0"/>
              <w:pBdr>
                <w:top w:val="nil"/>
                <w:left w:val="nil"/>
                <w:bottom w:val="nil"/>
                <w:right w:val="nil"/>
                <w:between w:val="nil"/>
              </w:pBdr>
              <w:spacing w:line="240" w:lineRule="auto"/>
              <w:rPr>
                <w:rFonts w:ascii="Aptos" w:hAnsi="Aptos"/>
                <w:sz w:val="20"/>
                <w:szCs w:val="20"/>
                <w:lang w:val="en-US"/>
              </w:rPr>
            </w:pPr>
          </w:p>
        </w:tc>
        <w:tc>
          <w:tcPr>
            <w:tcW w:w="1944" w:type="dxa"/>
            <w:tcMar>
              <w:top w:w="100" w:type="dxa"/>
              <w:left w:w="100" w:type="dxa"/>
              <w:bottom w:w="100" w:type="dxa"/>
              <w:right w:w="100" w:type="dxa"/>
            </w:tcMar>
          </w:tcPr>
          <w:p w14:paraId="6CD0CBCD" w14:textId="77777777" w:rsidR="00C62C41" w:rsidRPr="00D5003F" w:rsidRDefault="00B35C73">
            <w:pPr>
              <w:widowControl w:val="0"/>
              <w:rPr>
                <w:rFonts w:ascii="Aptos" w:hAnsi="Aptos"/>
                <w:sz w:val="20"/>
                <w:szCs w:val="20"/>
                <w:lang w:val="en-US"/>
              </w:rPr>
            </w:pPr>
            <w:r w:rsidRPr="00D5003F">
              <w:rPr>
                <w:rFonts w:ascii="Aptos" w:hAnsi="Aptos"/>
                <w:sz w:val="20"/>
                <w:szCs w:val="20"/>
                <w:lang w:val="en-US"/>
              </w:rPr>
              <w:t xml:space="preserve">Use refrigerated centrifuge Sigma 3-16KL with Eppie-Rot (4°C, 1500xg, 5 min) and warm </w:t>
            </w:r>
            <w:proofErr w:type="gramStart"/>
            <w:r w:rsidRPr="00D5003F">
              <w:rPr>
                <w:rFonts w:ascii="Aptos" w:hAnsi="Aptos"/>
                <w:sz w:val="20"/>
                <w:szCs w:val="20"/>
                <w:lang w:val="en-US"/>
              </w:rPr>
              <w:t xml:space="preserve">up  </w:t>
            </w:r>
            <w:r w:rsidRPr="00D5003F">
              <w:rPr>
                <w:rFonts w:ascii="Aptos" w:hAnsi="Aptos"/>
                <w:sz w:val="20"/>
                <w:szCs w:val="20"/>
                <w:u w:val="single"/>
                <w:lang w:val="en-US"/>
              </w:rPr>
              <w:t>&lt;</w:t>
            </w:r>
            <w:proofErr w:type="gramEnd"/>
            <w:r w:rsidRPr="00D5003F">
              <w:rPr>
                <w:rFonts w:ascii="Aptos" w:hAnsi="Aptos"/>
                <w:sz w:val="20"/>
                <w:szCs w:val="20"/>
                <w:lang w:val="en-US"/>
              </w:rPr>
              <w:t xml:space="preserve">30min. </w:t>
            </w:r>
            <w:proofErr w:type="spellStart"/>
            <w:r w:rsidRPr="00DF1C2E">
              <w:rPr>
                <w:rFonts w:ascii="Aptos" w:hAnsi="Aptos"/>
                <w:sz w:val="20"/>
                <w:szCs w:val="20"/>
                <w:lang w:val="en-US"/>
              </w:rPr>
              <w:t>Thermo</w:t>
            </w:r>
            <w:proofErr w:type="spellEnd"/>
            <w:r w:rsidRPr="00DF1C2E">
              <w:rPr>
                <w:rFonts w:ascii="Aptos" w:hAnsi="Aptos"/>
                <w:sz w:val="20"/>
                <w:szCs w:val="20"/>
                <w:lang w:val="en-US"/>
              </w:rPr>
              <w:t xml:space="preserve"> Scientific Evolution 201 UV-Visible Spectrophotometer. </w:t>
            </w:r>
            <w:r w:rsidRPr="00D5003F">
              <w:rPr>
                <w:rFonts w:ascii="Aptos" w:hAnsi="Aptos"/>
                <w:sz w:val="20"/>
                <w:szCs w:val="20"/>
                <w:lang w:val="en-US"/>
              </w:rPr>
              <w:t xml:space="preserve">Fill 100% </w:t>
            </w:r>
            <w:proofErr w:type="spellStart"/>
            <w:r w:rsidRPr="00D5003F">
              <w:rPr>
                <w:rFonts w:ascii="Aptos" w:hAnsi="Aptos"/>
                <w:sz w:val="20"/>
                <w:szCs w:val="20"/>
                <w:lang w:val="en-US"/>
              </w:rPr>
              <w:t>aceton</w:t>
            </w:r>
            <w:proofErr w:type="spellEnd"/>
            <w:r w:rsidRPr="00D5003F">
              <w:rPr>
                <w:rFonts w:ascii="Aptos" w:hAnsi="Aptos"/>
                <w:sz w:val="20"/>
                <w:szCs w:val="20"/>
                <w:lang w:val="en-US"/>
              </w:rPr>
              <w:t xml:space="preserve"> in reference cuvette of photometer, balance it with Auto Zero. Add Canthaxanthin (~0.0161 mg L</w:t>
            </w:r>
            <w:r w:rsidRPr="00D5003F">
              <w:rPr>
                <w:rFonts w:ascii="Aptos" w:hAnsi="Aptos"/>
                <w:sz w:val="20"/>
                <w:szCs w:val="20"/>
                <w:vertAlign w:val="superscript"/>
                <w:lang w:val="en-US"/>
              </w:rPr>
              <w:t>-1</w:t>
            </w:r>
            <w:r w:rsidRPr="00D5003F">
              <w:rPr>
                <w:rFonts w:ascii="Aptos" w:hAnsi="Aptos"/>
                <w:sz w:val="20"/>
                <w:szCs w:val="20"/>
                <w:lang w:val="en-US"/>
              </w:rPr>
              <w:t xml:space="preserve">) into sample cuvette </w:t>
            </w:r>
            <w:r w:rsidRPr="00D5003F">
              <w:rPr>
                <w:rFonts w:ascii="Aptos" w:hAnsi="Aptos"/>
                <w:sz w:val="20"/>
                <w:szCs w:val="20"/>
                <w:lang w:val="en-US"/>
              </w:rPr>
              <w:lastRenderedPageBreak/>
              <w:t xml:space="preserve">(instead of acetone) - internal standard for correcting solvent and sample loss!). Measure absorption of Canthaxanthin-standard at 750nm and 474 nm. </w:t>
            </w:r>
            <w:proofErr w:type="gramStart"/>
            <w:r w:rsidRPr="00D5003F">
              <w:rPr>
                <w:rFonts w:ascii="Aptos" w:hAnsi="Aptos"/>
                <w:sz w:val="20"/>
                <w:szCs w:val="20"/>
                <w:lang w:val="en-US"/>
              </w:rPr>
              <w:t>a(</w:t>
            </w:r>
            <w:proofErr w:type="gramEnd"/>
            <w:r w:rsidRPr="00D5003F">
              <w:rPr>
                <w:rFonts w:ascii="Aptos" w:hAnsi="Aptos"/>
                <w:sz w:val="20"/>
                <w:szCs w:val="20"/>
                <w:lang w:val="en-US"/>
              </w:rPr>
              <w:t xml:space="preserve">474) of standard should be ~0.5mg/L (value is later used for calculations of HPLC pigments). Make sure that the sample filters in the </w:t>
            </w:r>
            <w:proofErr w:type="spellStart"/>
            <w:r w:rsidRPr="00D5003F">
              <w:rPr>
                <w:rFonts w:ascii="Aptos" w:hAnsi="Aptos"/>
                <w:sz w:val="20"/>
                <w:szCs w:val="20"/>
                <w:lang w:val="en-US"/>
              </w:rPr>
              <w:t>CryoVials</w:t>
            </w:r>
            <w:proofErr w:type="spellEnd"/>
            <w:r w:rsidRPr="00D5003F">
              <w:rPr>
                <w:rFonts w:ascii="Aptos" w:hAnsi="Aptos"/>
                <w:sz w:val="20"/>
                <w:szCs w:val="20"/>
                <w:lang w:val="en-US"/>
              </w:rPr>
              <w:t xml:space="preserve"> have thawed. Take filters from the sample tubes into labeled 2ml-Apexvial and add </w:t>
            </w:r>
            <w:r w:rsidRPr="00D5003F">
              <w:rPr>
                <w:rFonts w:ascii="Aptos" w:hAnsi="Aptos"/>
                <w:sz w:val="20"/>
                <w:szCs w:val="20"/>
                <w:lang w:val="en-US"/>
              </w:rPr>
              <w:t>100% acetone to sample filters (with water in filter finally ~90% acetone).</w:t>
            </w:r>
          </w:p>
          <w:p w14:paraId="21276F49" w14:textId="77777777" w:rsidR="00C62C41" w:rsidRPr="00D5003F" w:rsidRDefault="00C62C41">
            <w:pPr>
              <w:widowControl w:val="0"/>
              <w:pBdr>
                <w:top w:val="nil"/>
                <w:left w:val="nil"/>
                <w:bottom w:val="nil"/>
                <w:right w:val="nil"/>
                <w:between w:val="nil"/>
              </w:pBdr>
              <w:spacing w:line="240" w:lineRule="auto"/>
              <w:rPr>
                <w:rFonts w:ascii="Aptos" w:hAnsi="Aptos"/>
                <w:sz w:val="20"/>
                <w:szCs w:val="20"/>
                <w:lang w:val="en-US"/>
              </w:rPr>
            </w:pPr>
          </w:p>
        </w:tc>
        <w:tc>
          <w:tcPr>
            <w:tcW w:w="1775" w:type="dxa"/>
            <w:tcMar>
              <w:top w:w="100" w:type="dxa"/>
              <w:left w:w="100" w:type="dxa"/>
              <w:bottom w:w="100" w:type="dxa"/>
              <w:right w:w="100" w:type="dxa"/>
            </w:tcMar>
          </w:tcPr>
          <w:p w14:paraId="00E50815" w14:textId="77777777" w:rsidR="00C62C41" w:rsidRPr="00D5003F" w:rsidRDefault="00B35C73">
            <w:pPr>
              <w:widowControl w:val="0"/>
              <w:spacing w:line="240" w:lineRule="auto"/>
              <w:rPr>
                <w:rFonts w:ascii="Aptos" w:hAnsi="Aptos"/>
                <w:sz w:val="20"/>
                <w:szCs w:val="20"/>
                <w:lang w:val="en-US"/>
              </w:rPr>
            </w:pPr>
            <w:r w:rsidRPr="00D5003F">
              <w:rPr>
                <w:rFonts w:ascii="Aptos" w:hAnsi="Aptos"/>
                <w:sz w:val="20"/>
                <w:szCs w:val="20"/>
                <w:lang w:val="en-US"/>
              </w:rPr>
              <w:lastRenderedPageBreak/>
              <w:t xml:space="preserve">The soluble organic phytoplankton pigment concentrations were determined using HPLC according to the method of Barlow et al. </w:t>
            </w:r>
            <w:r w:rsidRPr="00C45FF4">
              <w:rPr>
                <w:rFonts w:ascii="Aptos" w:hAnsi="Aptos"/>
                <w:sz w:val="20"/>
                <w:szCs w:val="20"/>
                <w:lang w:val="en-US"/>
              </w:rPr>
              <w:t xml:space="preserve">(1997) adjusted to our temperature-controlled instruments (Taylor et al. 2011). </w:t>
            </w:r>
            <w:r w:rsidRPr="00D5003F">
              <w:rPr>
                <w:rFonts w:ascii="Aptos" w:hAnsi="Aptos"/>
                <w:sz w:val="20"/>
                <w:szCs w:val="20"/>
                <w:lang w:val="en-US"/>
              </w:rPr>
              <w:t xml:space="preserve">The pigment data </w:t>
            </w:r>
            <w:proofErr w:type="gramStart"/>
            <w:r w:rsidRPr="00D5003F">
              <w:rPr>
                <w:rFonts w:ascii="Aptos" w:hAnsi="Aptos"/>
                <w:sz w:val="20"/>
                <w:szCs w:val="20"/>
                <w:lang w:val="en-US"/>
              </w:rPr>
              <w:t>were</w:t>
            </w:r>
            <w:proofErr w:type="gramEnd"/>
            <w:r w:rsidRPr="00D5003F">
              <w:rPr>
                <w:rFonts w:ascii="Aptos" w:hAnsi="Aptos"/>
                <w:sz w:val="20"/>
                <w:szCs w:val="20"/>
                <w:lang w:val="en-US"/>
              </w:rPr>
              <w:t xml:space="preserve"> quality controlled</w:t>
            </w:r>
          </w:p>
          <w:p w14:paraId="6D73C8D2" w14:textId="77777777" w:rsidR="00C62C41" w:rsidRPr="00D5003F" w:rsidRDefault="00B35C73">
            <w:pPr>
              <w:widowControl w:val="0"/>
              <w:spacing w:line="240" w:lineRule="auto"/>
              <w:rPr>
                <w:rFonts w:ascii="Aptos" w:hAnsi="Aptos"/>
                <w:sz w:val="20"/>
                <w:szCs w:val="20"/>
                <w:lang w:val="en-US"/>
              </w:rPr>
            </w:pPr>
            <w:r w:rsidRPr="00D5003F">
              <w:rPr>
                <w:rFonts w:ascii="Aptos" w:hAnsi="Aptos"/>
                <w:sz w:val="20"/>
                <w:szCs w:val="20"/>
                <w:lang w:val="en-US"/>
              </w:rPr>
              <w:t xml:space="preserve">according to </w:t>
            </w:r>
            <w:r w:rsidRPr="00D5003F">
              <w:rPr>
                <w:rFonts w:ascii="Aptos" w:hAnsi="Aptos"/>
                <w:sz w:val="20"/>
                <w:szCs w:val="20"/>
                <w:lang w:val="en-US"/>
              </w:rPr>
              <w:lastRenderedPageBreak/>
              <w:t xml:space="preserve">Aiken et al. </w:t>
            </w:r>
            <w:r w:rsidRPr="00C45FF4">
              <w:rPr>
                <w:rFonts w:ascii="Aptos" w:hAnsi="Aptos"/>
                <w:sz w:val="20"/>
                <w:szCs w:val="20"/>
                <w:lang w:val="en-US"/>
              </w:rPr>
              <w:t xml:space="preserve">(2009). </w:t>
            </w:r>
            <w:r w:rsidRPr="00D5003F">
              <w:rPr>
                <w:rFonts w:ascii="Aptos" w:hAnsi="Aptos"/>
                <w:sz w:val="20"/>
                <w:szCs w:val="20"/>
                <w:lang w:val="en-US"/>
              </w:rPr>
              <w:t xml:space="preserve">Uncertainties of our HPLC measurements were assessed from triplicate samples taken at several prior cruises and campaigns (data sets related to Taylor et al. 2011, Bracher et al. 2015, Zindler et al. 2013, </w:t>
            </w:r>
            <w:proofErr w:type="spellStart"/>
            <w:r w:rsidRPr="00D5003F">
              <w:rPr>
                <w:rFonts w:ascii="Aptos" w:hAnsi="Aptos"/>
                <w:sz w:val="20"/>
                <w:szCs w:val="20"/>
                <w:lang w:val="en-US"/>
              </w:rPr>
              <w:t>Tilstone</w:t>
            </w:r>
            <w:proofErr w:type="spellEnd"/>
            <w:r w:rsidRPr="00D5003F">
              <w:rPr>
                <w:rFonts w:ascii="Aptos" w:hAnsi="Aptos"/>
                <w:sz w:val="20"/>
                <w:szCs w:val="20"/>
                <w:lang w:val="en-US"/>
              </w:rPr>
              <w:t xml:space="preserve"> et al. 2020). For the different cruises the average deviation for HPLC </w:t>
            </w:r>
            <w:proofErr w:type="spellStart"/>
            <w:r w:rsidRPr="00D5003F">
              <w:rPr>
                <w:rFonts w:ascii="Aptos" w:hAnsi="Aptos"/>
                <w:sz w:val="20"/>
                <w:szCs w:val="20"/>
                <w:lang w:val="en-US"/>
              </w:rPr>
              <w:t>TChl</w:t>
            </w:r>
            <w:proofErr w:type="spellEnd"/>
            <w:r w:rsidRPr="00D5003F">
              <w:rPr>
                <w:rFonts w:ascii="Aptos" w:hAnsi="Aptos"/>
                <w:sz w:val="20"/>
                <w:szCs w:val="20"/>
                <w:lang w:val="en-US"/>
              </w:rPr>
              <w:t xml:space="preserve">-a and the seven other pigments used in the diagnostic pigment analysis (DPA, see below) ranged from 5 to 8% with a standard deviation for triplicates between 1 to 11%. </w:t>
            </w:r>
          </w:p>
        </w:tc>
        <w:tc>
          <w:tcPr>
            <w:tcW w:w="1775" w:type="dxa"/>
            <w:tcMar>
              <w:top w:w="100" w:type="dxa"/>
              <w:left w:w="100" w:type="dxa"/>
              <w:bottom w:w="100" w:type="dxa"/>
              <w:right w:w="100" w:type="dxa"/>
            </w:tcMar>
          </w:tcPr>
          <w:p w14:paraId="0DEC0D2A" w14:textId="2524CD6E" w:rsidR="00915E7D" w:rsidRPr="00D5003F" w:rsidRDefault="00B35C73" w:rsidP="00915E7D">
            <w:pPr>
              <w:widowControl w:val="0"/>
              <w:spacing w:line="240" w:lineRule="auto"/>
              <w:rPr>
                <w:rFonts w:ascii="Aptos" w:hAnsi="Aptos"/>
                <w:sz w:val="20"/>
                <w:szCs w:val="20"/>
                <w:lang w:val="en-US"/>
              </w:rPr>
            </w:pPr>
            <w:r w:rsidRPr="00D5003F">
              <w:rPr>
                <w:rFonts w:ascii="Aptos" w:hAnsi="Aptos"/>
                <w:sz w:val="20"/>
                <w:szCs w:val="20"/>
                <w:lang w:val="en-US"/>
              </w:rPr>
              <w:lastRenderedPageBreak/>
              <w:t xml:space="preserve">Follows </w:t>
            </w:r>
            <w:r w:rsidR="00915E7D" w:rsidRPr="00D5003F">
              <w:rPr>
                <w:rFonts w:ascii="Aptos" w:hAnsi="Aptos"/>
                <w:sz w:val="20"/>
                <w:szCs w:val="20"/>
                <w:lang w:val="en-US"/>
              </w:rPr>
              <w:fldChar w:fldCharType="begin"/>
            </w:r>
            <w:r w:rsidR="00915E7D" w:rsidRPr="00D5003F">
              <w:rPr>
                <w:rFonts w:ascii="Aptos" w:hAnsi="Aptos"/>
                <w:sz w:val="20"/>
                <w:szCs w:val="20"/>
                <w:lang w:val="en-US"/>
              </w:rPr>
              <w:instrText xml:space="preserve"> ADDIN ZOTERO_ITEM CSL_CITATION {"citationID":"inVDpqE0","properties":{"formattedCitation":"(Barlow et al., 1997)","plainCitation":"(Barlow et al., 1997)","noteIndex":0},"citationItems":[{"id":2593,"uris":["http://zotero.org/users/13776053/items/NMBEKHBJ"],"itemData":{"id":2593,"type":"article-journal","abstract":"A reverse phase HPLC (high performance liquid chromatography) technique using a binary solvent system with a linear gradient on a Hypersil® MOS2 C-8 column is described. As well as the...","container-title":"Marine Ecology Progress Series","DOI":"10.3354/meps161303","ISSN":"1616-1599, 0171-8630","language":"en-US","page":"303-307","source":"www.int-res.com","title":"Improved resolution of mono- and divinyl chlorophylls a and b and zeaxanthin and lutein in phytoplankton extracts using reverse phase C-8 HPLC","volume":"161","author":[{"family":"Barlow","given":"R. G."},{"family":"Cummings","given":"D. G."},{"family":"Gibb","given":"S. W."}],"issued":{"date-parts":[["1997",12,31]]}}}],"schema":"https://github.com/citation-style-language/schema/raw/master/csl-citation.json"} </w:instrText>
            </w:r>
            <w:r w:rsidR="00915E7D" w:rsidRPr="00D5003F">
              <w:rPr>
                <w:rFonts w:ascii="Aptos" w:hAnsi="Aptos"/>
                <w:sz w:val="20"/>
                <w:szCs w:val="20"/>
                <w:lang w:val="en-US"/>
              </w:rPr>
              <w:fldChar w:fldCharType="separate"/>
            </w:r>
            <w:r w:rsidR="00915E7D" w:rsidRPr="00D5003F">
              <w:rPr>
                <w:rFonts w:ascii="Aptos" w:hAnsi="Aptos"/>
                <w:sz w:val="20"/>
                <w:szCs w:val="20"/>
                <w:lang w:val="en-US"/>
              </w:rPr>
              <w:t>(Barlow et al., 1997)</w:t>
            </w:r>
            <w:r w:rsidR="00915E7D" w:rsidRPr="00D5003F">
              <w:rPr>
                <w:rFonts w:ascii="Aptos" w:hAnsi="Aptos"/>
                <w:sz w:val="20"/>
                <w:szCs w:val="20"/>
                <w:lang w:val="en-US"/>
              </w:rPr>
              <w:fldChar w:fldCharType="end"/>
            </w:r>
            <w:r w:rsidR="00915E7D" w:rsidRPr="00D5003F">
              <w:rPr>
                <w:rFonts w:ascii="Aptos" w:hAnsi="Aptos"/>
                <w:sz w:val="20"/>
                <w:szCs w:val="20"/>
                <w:lang w:val="en-US"/>
              </w:rPr>
              <w:t xml:space="preserve">, </w:t>
            </w:r>
            <w:r w:rsidRPr="00D5003F">
              <w:rPr>
                <w:rFonts w:ascii="Aptos" w:hAnsi="Aptos"/>
                <w:sz w:val="20"/>
                <w:szCs w:val="20"/>
                <w:lang w:val="en-US"/>
              </w:rPr>
              <w:t xml:space="preserve">adapted for open ocean and polar waters by </w:t>
            </w:r>
            <w:r w:rsidR="00915E7D" w:rsidRPr="00D5003F">
              <w:rPr>
                <w:rFonts w:ascii="Aptos" w:hAnsi="Aptos"/>
                <w:sz w:val="20"/>
                <w:szCs w:val="20"/>
                <w:lang w:val="en-US"/>
              </w:rPr>
              <w:t xml:space="preserve"> </w:t>
            </w:r>
            <w:r w:rsidR="00915E7D" w:rsidRPr="00D5003F">
              <w:rPr>
                <w:rFonts w:ascii="Aptos" w:hAnsi="Aptos"/>
                <w:sz w:val="20"/>
                <w:szCs w:val="20"/>
                <w:lang w:val="en-US"/>
              </w:rPr>
              <w:fldChar w:fldCharType="begin"/>
            </w:r>
            <w:r w:rsidR="00915E7D" w:rsidRPr="00D5003F">
              <w:rPr>
                <w:rFonts w:ascii="Aptos" w:hAnsi="Aptos"/>
                <w:sz w:val="20"/>
                <w:szCs w:val="20"/>
                <w:lang w:val="en-US"/>
              </w:rPr>
              <w:instrText xml:space="preserve"> ADDIN ZOTERO_ITEM CSL_CITATION {"citationID":"hXnlpwa9","properties":{"formattedCitation":"(Hoffmann et al., 2006)","plainCitation":"(Hoffmann et al., 2006)","noteIndex":0},"citationItems":[{"id":2595,"uris":["http://zotero.org/users/13776053/items/9MITEZNV"],"itemData":{"id":2595,"type":"article-journal","abstract":"During the European Iron Fertilisation Experiment (EIFEX), performed in the Southern Ocean, we investigated the reactions of different phytoplankton size classes to iron fertilization, applying measurements of size fractionated pigments, particulate organic matter, microscopy, and flow cytometry. Chlorophyll a (Chl a) concentrations at 20-m depth increased more than fivefold following fertilization through day 26, while concentrations of particulate organic carbon (POC), nitrogen (PON), and phosphorus (POP) roughly doubled through day 29. Concentrations of Chl a and particulate organic matter decreased toward the end of the experiment, indicating the demise of the iron-induced phytoplankton bloom. Despite a decrease in total diatom biomass at the end of the experiment, biogenic particulate silicate (bPSi) concentrations increased steadily due to a relative increase of heavily silicified diatoms. Although diatoms &gt;10 µm were the main beneficiaries of iron fertilization, the growth of small diatoms (2-8 mm) was also enhanced, leading to a shift from a haptophyte- to a diatom-dominated community in this size fraction. The total biomass had lower than Redfield C : N, N : P, and C : P ratios but did not show significant trends after iron fertilization. This concealed various alterations in the elemental composition of the different size fractions. The microplankton (&gt;20 µm) showed decreasing C : N and increasing N : P and C : P ratios, possibly caused by increased N uptake and the consumption of cellular P pools. The nanoplankton (2-20 µm) showed almost constant C : N and decreasing N : P and C : P ratios. Our results suggest that the latter is caused by a shift in composition of taxonomic groups.","container-title":"Limnology and Oceanography","DOI":"10.4319/lo.2006.51.3.1217","ISSN":"1939-5590","issue":"3","language":"en","license":"© 2006, by the Association for the Sciences of Limnology and Oceanography, Inc.","note":"_eprint: https://aslopubs.onlinelibrary.wiley.com/doi/pdf/10.4319/lo.2006.51.3.1217","page":"1217-1229","source":"Wiley Online Library","title":"Different reactions of Southern Ocean phytoplankton size classes to iron fertilization","volume":"51","author":[{"family":"Hoffmann","given":"Linn J."},{"family":"Peeken","given":"Ilka"},{"family":"Lochte","given":"Karin"},{"family":"Assmy","given":"Philipp"},{"family":"Veldhuis","given":"Marcel"}],"issued":{"date-parts":[["2006"]]}}}],"schema":"https://github.com/citation-style-language/schema/raw/master/csl-citation.json"} </w:instrText>
            </w:r>
            <w:r w:rsidR="00915E7D" w:rsidRPr="00D5003F">
              <w:rPr>
                <w:rFonts w:ascii="Aptos" w:hAnsi="Aptos"/>
                <w:sz w:val="20"/>
                <w:szCs w:val="20"/>
                <w:lang w:val="en-US"/>
              </w:rPr>
              <w:fldChar w:fldCharType="separate"/>
            </w:r>
            <w:r w:rsidR="00915E7D" w:rsidRPr="00D5003F">
              <w:rPr>
                <w:rFonts w:ascii="Aptos" w:hAnsi="Aptos"/>
                <w:sz w:val="20"/>
                <w:szCs w:val="20"/>
                <w:lang w:val="en-US"/>
              </w:rPr>
              <w:t>(Hoffmann et al., 2006)</w:t>
            </w:r>
            <w:r w:rsidR="00915E7D" w:rsidRPr="00D5003F">
              <w:rPr>
                <w:rFonts w:ascii="Aptos" w:hAnsi="Aptos"/>
                <w:sz w:val="20"/>
                <w:szCs w:val="20"/>
                <w:lang w:val="en-US"/>
              </w:rPr>
              <w:fldChar w:fldCharType="end"/>
            </w:r>
            <w:r w:rsidRPr="00D5003F">
              <w:rPr>
                <w:rFonts w:ascii="Aptos" w:hAnsi="Aptos"/>
                <w:sz w:val="20"/>
                <w:szCs w:val="20"/>
                <w:lang w:val="en-US"/>
              </w:rPr>
              <w:t xml:space="preserve">, adapted for our instruments by </w:t>
            </w:r>
            <w:r w:rsidR="00915E7D" w:rsidRPr="00D5003F">
              <w:rPr>
                <w:rFonts w:ascii="Aptos" w:hAnsi="Aptos"/>
                <w:sz w:val="20"/>
                <w:szCs w:val="20"/>
                <w:lang w:val="en-US"/>
              </w:rPr>
              <w:fldChar w:fldCharType="begin"/>
            </w:r>
            <w:r w:rsidR="00915E7D" w:rsidRPr="00D5003F">
              <w:rPr>
                <w:rFonts w:ascii="Aptos" w:hAnsi="Aptos"/>
                <w:sz w:val="20"/>
                <w:szCs w:val="20"/>
                <w:lang w:val="en-US"/>
              </w:rPr>
              <w:instrText xml:space="preserve"> ADDIN ZOTERO_ITEM CSL_CITATION {"citationID":"tgm9ZHJv","properties":{"formattedCitation":"(\\uc0\\u193{}lvarez et al., 2022)","plainCitation":"(Álvarez et al., 2022)","noteIndex":0},"citationItems":[{"id":2607,"uris":["http://zotero.org/users/13776053/items/85U863GT"],"itemData":{"id":2607,"type":"article-journal","abstract":"The chlorophyll-specific absorption spectrum of phytoplankton multiplied with phytoplankton chlorophyll provides the total absorption coefficient of phytoplankton [], a fundamental quantity with significance in many marine biogeochemical (BGC) and environmental processes. Representing accurately the sources of variability of in BGC ocean models is a crucial task. The two main sources of variability in are changes in the pigment composition of the phytoplankton community and the size-dependent constraints to pigment packaging. Therefore, changes in community structure and physiological state impact and consequently . The objective of this work is to improve estimates of in a BGC model of the global ocean by portraying the variability of driven by the variable content in photoprotective carotenoids (PPCs) in the phytoplankton community. We used a three-dimensional spectrally-resolved BGC model to simulate the inherent and apparent optical properties of the global ocean based on its content on optically active constituents. The for each phytoplankton type represented in the model were made variable as a function of the type-specific content in PPCs. By comparing model-derived to satellite retrievals and an extensive field data set of optical and BGC observations, we concluded that photoprotective pigments content impacted significantly the contribution of the to the total non-water absorption in the ocean. Pigment-impacted contributed to reproduce the global variability of as well as the observed bio-optical relationship between and chlorophyll. The improved representation of the of the phytoplankton community influenced model simulations in terms of water-leaving radiances.","container-title":"Journal of Advances in Modeling Earth Systems","DOI":"10.1029/2022MS003126","ISSN":"1942-2466","issue":"11","language":"en","license":"© 2022 The Authors. Journal of Advances in Modeling Earth Systems published by Wiley Periodicals LLC on behalf of American Geophysical Union.","note":"_eprint: https://agupubs.onlinelibrary.wiley.com/doi/pdf/10.1029/2022MS003126","page":"e2022MS003126","source":"Wiley Online Library","title":"Phytoplankton Light Absorption Impacted by Photoprotective Carotenoids in a Global Ocean Spectrally-Resolved Biogeochemistry Model","volume":"14","author":[{"family":"Álvarez","given":"Eva"},{"family":"Losa","given":"Svetlana N."},{"family":"Bracher","given":"Astrid"},{"family":"Thoms","given":"Silke"},{"family":"Völker","given":"Christoph"}],"issued":{"date-parts":[["2022"]]}}}],"schema":"https://github.com/citation-style-language/schema/raw/master/csl-citation.json"} </w:instrText>
            </w:r>
            <w:r w:rsidR="00915E7D" w:rsidRPr="00D5003F">
              <w:rPr>
                <w:rFonts w:ascii="Aptos" w:hAnsi="Aptos"/>
                <w:sz w:val="20"/>
                <w:szCs w:val="20"/>
                <w:lang w:val="en-US"/>
              </w:rPr>
              <w:fldChar w:fldCharType="separate"/>
            </w:r>
            <w:r w:rsidR="00915E7D" w:rsidRPr="00D5003F">
              <w:rPr>
                <w:rFonts w:ascii="Aptos" w:hAnsi="Aptos" w:cs="Times New Roman"/>
                <w:sz w:val="20"/>
                <w:szCs w:val="20"/>
                <w:lang w:val="en-US"/>
              </w:rPr>
              <w:t>(Álvarez et al., 2022)</w:t>
            </w:r>
            <w:r w:rsidR="00915E7D" w:rsidRPr="00D5003F">
              <w:rPr>
                <w:rFonts w:ascii="Aptos" w:hAnsi="Aptos"/>
                <w:sz w:val="20"/>
                <w:szCs w:val="20"/>
                <w:lang w:val="en-US"/>
              </w:rPr>
              <w:fldChar w:fldCharType="end"/>
            </w:r>
            <w:r w:rsidRPr="00D5003F">
              <w:rPr>
                <w:rFonts w:ascii="Aptos" w:hAnsi="Aptos"/>
                <w:sz w:val="20"/>
                <w:szCs w:val="20"/>
                <w:lang w:val="en-US"/>
              </w:rPr>
              <w:t xml:space="preserve"> Suppl. Material S1</w:t>
            </w:r>
            <w:r w:rsidR="00915E7D" w:rsidRPr="00D5003F">
              <w:rPr>
                <w:rFonts w:ascii="Aptos" w:hAnsi="Aptos"/>
                <w:sz w:val="20"/>
                <w:szCs w:val="20"/>
                <w:lang w:val="en-US"/>
              </w:rPr>
              <w:t>.</w:t>
            </w:r>
          </w:p>
          <w:p w14:paraId="760342AA" w14:textId="77777777" w:rsidR="00915E7D" w:rsidRPr="00D5003F" w:rsidRDefault="00915E7D">
            <w:pPr>
              <w:widowControl w:val="0"/>
              <w:spacing w:line="240" w:lineRule="auto"/>
              <w:rPr>
                <w:rFonts w:ascii="Aptos" w:hAnsi="Aptos"/>
                <w:sz w:val="20"/>
                <w:szCs w:val="20"/>
                <w:lang w:val="en-US"/>
              </w:rPr>
            </w:pPr>
          </w:p>
          <w:p w14:paraId="7B51540F" w14:textId="24257037" w:rsidR="00C62C41" w:rsidRPr="00D5003F" w:rsidRDefault="00915E7D">
            <w:pPr>
              <w:widowControl w:val="0"/>
              <w:spacing w:line="240" w:lineRule="auto"/>
              <w:rPr>
                <w:rFonts w:ascii="Aptos" w:hAnsi="Aptos"/>
                <w:sz w:val="20"/>
                <w:szCs w:val="20"/>
              </w:rPr>
            </w:pPr>
            <w:r w:rsidRPr="00D5003F">
              <w:rPr>
                <w:rFonts w:ascii="Aptos" w:hAnsi="Aptos"/>
                <w:sz w:val="20"/>
                <w:szCs w:val="20"/>
                <w:lang w:val="en-US"/>
              </w:rPr>
              <w:t xml:space="preserve">Citation to uncertainties: </w:t>
            </w:r>
            <w:r w:rsidRPr="00D5003F">
              <w:rPr>
                <w:rFonts w:ascii="Aptos" w:hAnsi="Aptos"/>
                <w:sz w:val="20"/>
                <w:szCs w:val="20"/>
                <w:lang w:val="en-US"/>
              </w:rPr>
              <w:fldChar w:fldCharType="begin"/>
            </w:r>
            <w:r w:rsidR="00D41E20">
              <w:rPr>
                <w:rFonts w:ascii="Aptos" w:hAnsi="Aptos"/>
                <w:sz w:val="20"/>
                <w:szCs w:val="20"/>
                <w:lang w:val="en-US"/>
              </w:rPr>
              <w:instrText xml:space="preserve"> ADDIN ZOTERO_ITEM CSL_CITATION {"citationID":"keEWcZqS","properties":{"formattedCitation":"(Bracher et al., 2015)","plainCitation":"(Bracher et al., 2015)","noteIndex":0},"citationItems":[{"id":2597,"uris":["http://zotero.org/users/13776053/items/4PDTR95S"],"itemData":{"id":2597,"type":"article-journal","abstract":"The composition and abundance of algal pigments provide information on phytoplankton community characteristics such as photoacclimation, overall biomass and taxonomic composition. In particular, pigments play a major role in photoprotection and in the light-driven part of photosynthesis. Most phytoplankton pigments can be measured by high-performance liquid chromatography (HPLC) techniques applied to filtered water samples. This method, as well as other laboratory analyses, is time consuming and therefore limits the number of samples that can be processed in a given time. In order to receive information on phytoplankton pigment composition with a higher temporal and spatial resolution, we have developed a method to assess pigment concentrations from continuous optical measurements. The method applies an empirical orthogonal function (EOF) analysis to remote-sensing reflectance data derived from ship-based hyperspectral underwater radiometry and from multispectral satellite data (using the Medium Resolution Imaging Spectrometer – MERIS – Polymer product developed by Steinmetz et al., 2011) measured in the Atlantic Ocean. Subsequently we developed multiple linear regression models with measured (collocated) pigment concentrations as the response variable and EOF loadings as predictor variables. The model results show that surface concentrations of a suite of pigments and pigment groups can be well predicted from the ship-based reflectance measurements, even when only a multispectral resolution is chosen (i.e., eight bands, similar to those used by MERIS). Based on the MERIS reflectance data, concentrations of total and monovinyl chlorophyll a and the groups of photoprotective and photosynthetic carotenoids can be predicted with high quality. As a demonstration of the utility of the approach, the fitted model based on satellite reflectance data as input was applied to 1 month of MERIS Polymer data to predict the concentration of those pigment groups for the whole eastern tropical Atlantic area. Bootstrapping explorations of cross-validation error indicate that the method can produce reliable predictions with relatively small data sets (e.g., &lt; 50 collocated values of reflectance and pigment concentration). The method allows for the derivation of time series from continuous reflectance data of various pigment groups at various regions, which can be used to study variability and change of phytoplankton composition and photophysiology.","container-title":"Ocean Science","DOI":"10.5194/os-11-139-2015","ISSN":"1812-0784","issue":"1","language":"English","note":"publisher: Copernicus GmbH","page":"139-158","source":"Copernicus Online Journals","title":"Using empirical orthogonal functions derived from remote-sensing reflectance for the prediction of phytoplankton pigment concentrations","volume":"11","author":[{"family":"Bracher","given":"A."},{"family":"Taylor","given":"M. H."},{"family":"Taylor","given":"B."},{"family":"Dinter","given":"T."},{"family":"Röttgers","given":"R."},{"family":"Steinmetz","given":"F."}],"issued":{"date-parts":[["2015",2,3]]}}}],"schema":"https://github.com/citation-style-language/schema/raw/master/csl-citation.json"} </w:instrText>
            </w:r>
            <w:r w:rsidRPr="00D5003F">
              <w:rPr>
                <w:rFonts w:ascii="Aptos" w:hAnsi="Aptos"/>
                <w:sz w:val="20"/>
                <w:szCs w:val="20"/>
                <w:lang w:val="en-US"/>
              </w:rPr>
              <w:fldChar w:fldCharType="separate"/>
            </w:r>
            <w:r w:rsidRPr="00D5003F">
              <w:rPr>
                <w:rFonts w:ascii="Aptos" w:hAnsi="Aptos"/>
                <w:sz w:val="20"/>
                <w:szCs w:val="20"/>
                <w:lang w:val="en-US"/>
              </w:rPr>
              <w:t>(Bracher et al., 2015)</w:t>
            </w:r>
            <w:r w:rsidRPr="00D5003F">
              <w:rPr>
                <w:rFonts w:ascii="Aptos" w:hAnsi="Aptos"/>
                <w:sz w:val="20"/>
                <w:szCs w:val="20"/>
                <w:lang w:val="en-US"/>
              </w:rPr>
              <w:fldChar w:fldCharType="end"/>
            </w:r>
            <w:r w:rsidRPr="00D5003F">
              <w:rPr>
                <w:rFonts w:ascii="Aptos" w:hAnsi="Aptos"/>
                <w:sz w:val="20"/>
                <w:szCs w:val="20"/>
                <w:lang w:val="en-US"/>
              </w:rPr>
              <w:t xml:space="preserve">, </w:t>
            </w:r>
            <w:r w:rsidRPr="00D5003F">
              <w:rPr>
                <w:rFonts w:ascii="Aptos" w:hAnsi="Aptos"/>
                <w:sz w:val="20"/>
                <w:szCs w:val="20"/>
                <w:lang w:val="en-US"/>
              </w:rPr>
              <w:fldChar w:fldCharType="begin"/>
            </w:r>
            <w:r w:rsidR="00D41E20">
              <w:rPr>
                <w:rFonts w:ascii="Aptos" w:hAnsi="Aptos"/>
                <w:sz w:val="20"/>
                <w:szCs w:val="20"/>
                <w:lang w:val="en-US"/>
              </w:rPr>
              <w:instrText xml:space="preserve"> ADDIN ZOTERO_ITEM CSL_CITATION {"citationID":"MGnZqfOw","properties":{"formattedCitation":"(Zindler et al., 2013)","plainCitation":"(Zindler et al., 2013)","noteIndex":0},"citationItems":[{"id":2598,"uris":["http://zotero.org/users/13776053/items/6SW8T28T"],"itemData":{"id":2598,"type":"article-journal","abstract":"Here we present results of the first comprehensive study of sulphur compounds and methane in the oligotrophic tropical western Pacific Ocean. The concentrations of dimethylsuphide (DMS), dimethylsulphoniopropionate (DMSP), dimethylsulphoxide (DMSO), and methane (CH4), as well as various phytoplankton marker pigments in the surface ocean were measured along a north–south transit from Japan to Australia in October 2009. DMS (0.9 nmol L−1), dissolved DMSP (DMSPd, 1.6 nmol L−1) and particulate DMSP (DMSPp, 2 nmol L−1) concentrations were generally low, while dissolved DMSO (DMSOd, 4.4 nmol L−1) and particulate DMSO (DMSOp, 11.5 nmol L−1) concentrations were comparably enhanced. Positive correlations were found between DMSO and DMSP as well as DMSP and DMSO with chlorophyll a, which suggests a similar source for both compounds. Similar phytoplankton groups were identified as being important for the DMSO and DMSP pool, thus, the same algae taxa might produce both DMSP and DMSO. In contrast, phytoplankton seemed to play only a minor role for the DMS distribution in the western Pacific Ocean. The observed DMSPp : DMSOp ratios were very low and seem to be characteristic of oligotrophic tropical waters representing the extreme endpoint of the global DMSPp : DMSOp ratio vs SST relationship. It is most likely that nutrient limitation and oxidative stress in the tropical western Pacific Ocean triggered enhanced DMSO production leading to an accumulation of DMSO in the sea surface. Positive correlations between DMSPd and CH4, as well as between DMSO (particulate and total) and CH4, were found along the transit. We conclude that DMSP and DMSO and/or their degradation products might serve as potential substrates for CH4 production in the oxic surface layer of the western Pacific Ocean.","container-title":"Biogeosciences","DOI":"10.5194/bg-10-3297-2013","ISSN":"1726-4170","issue":"5","language":"English","note":"publisher: Copernicus GmbH","page":"3297-3311","source":"Copernicus Online Journals","title":"Sulphur compounds, methane, and phytoplankton: interactions along a north–south transit in the western Pacific Ocean","title-short":"Sulphur compounds, methane, and phytoplankton","volume":"10","author":[{"family":"Zindler","given":"C."},{"family":"Bracher","given":"A."},{"family":"Marandino","given":"C. A."},{"family":"Taylor","given":"B."},{"family":"Torrecilla","given":"E."},{"family":"Kock","given":"A."},{"family":"Bange","given":"H. W."}],"issued":{"date-parts":[["2013",5,16]]}}}],"schema":"https://github.com/citation-style-language/schema/raw/master/csl-citation.json"} </w:instrText>
            </w:r>
            <w:r w:rsidRPr="00D5003F">
              <w:rPr>
                <w:rFonts w:ascii="Aptos" w:hAnsi="Aptos"/>
                <w:sz w:val="20"/>
                <w:szCs w:val="20"/>
                <w:lang w:val="en-US"/>
              </w:rPr>
              <w:fldChar w:fldCharType="separate"/>
            </w:r>
            <w:r w:rsidRPr="00D5003F">
              <w:rPr>
                <w:rFonts w:ascii="Aptos" w:hAnsi="Aptos"/>
                <w:sz w:val="20"/>
                <w:szCs w:val="20"/>
                <w:lang w:val="da-DK"/>
              </w:rPr>
              <w:t>(Zindler et al., 2013)</w:t>
            </w:r>
            <w:r w:rsidRPr="00D5003F">
              <w:rPr>
                <w:rFonts w:ascii="Aptos" w:hAnsi="Aptos"/>
                <w:sz w:val="20"/>
                <w:szCs w:val="20"/>
                <w:lang w:val="en-US"/>
              </w:rPr>
              <w:fldChar w:fldCharType="end"/>
            </w:r>
            <w:r w:rsidRPr="00D5003F">
              <w:rPr>
                <w:rFonts w:ascii="Aptos" w:hAnsi="Aptos"/>
                <w:sz w:val="20"/>
                <w:szCs w:val="20"/>
                <w:lang w:val="da-DK"/>
              </w:rPr>
              <w:t xml:space="preserve">, </w:t>
            </w:r>
            <w:r w:rsidRPr="00D5003F">
              <w:rPr>
                <w:rFonts w:ascii="Aptos" w:hAnsi="Aptos"/>
                <w:sz w:val="20"/>
                <w:szCs w:val="20"/>
                <w:lang w:val="en-US"/>
              </w:rPr>
              <w:fldChar w:fldCharType="begin"/>
            </w:r>
            <w:r w:rsidR="00D41E20">
              <w:rPr>
                <w:rFonts w:ascii="Aptos" w:hAnsi="Aptos"/>
                <w:sz w:val="20"/>
                <w:szCs w:val="20"/>
                <w:lang w:val="da-DK"/>
              </w:rPr>
              <w:instrText xml:space="preserve"> ADDIN ZOTERO_ITEM CSL_CITATION {"citationID":"kjEWXczp","properties":{"formattedCitation":"(Tilstone et al., 2020)","plainCitation":"(Tilstone et al., 2020)","noteIndex":0},"citationItems":[{"id":2599,"uris":["http://zotero.org/users/13776053/items/BA6RXUT3"],"itemData":{"id":2599,"type":"article-journal","abstract":"A field intercomparison was conducted at the Acqua Alta Oceanographic Tower (AAOT) in the northern Adriatic Sea, from 9 to 19 July 2018 to assess diff...","container-title":"Remote Sensing","DOI":"10.3390/rs12101587","ISSN":"2072-4292","issue":"10","language":"en","license":"http://creativecommons.org/licenses/by/3.0/","note":"publisher: Multidisciplinary Digital Publishing Institute","source":"www.mdpi.com","title":"Field Intercomparison of Radiometer Measurements for Ocean Colour Validation","URL":"https://www.mdpi.com/2072-4292/12/10/1587","volume":"12","author":[{"family":"Tilstone","given":"Gavin"},{"family":"Dall’Olmo","given":"Giorgio"},{"family":"Hieronymi","given":"Martin"},{"family":"Ruddick","given":"Kevin"},{"family":"Beck","given":"Matthew"},{"family":"Ligi","given":"Martin"},{"family":"Costa","given":"Maycira"},{"family":"D’Alimonte","given":"Davide"},{"family":"Vellucci","given":"Vincenzo"},{"family":"Vansteenwegen","given":"Dieter"},{"family":"Bracher","given":"Astrid"},{"family":"Wiegmann","given":"Sonja"},{"family":"Kuusk","given":"Joel"},{"family":"Vabson","given":"Viktor"},{"family":"Ansko","given":"Ilmar"},{"family":"Vendt","given":"Riho"},{"family":"Donlon","given":"Craig"},{"family":"Casal","given":"Tânia"}],"accessed":{"date-parts":[["2026",5,21]]},"issued":{"date-parts":[["2020",5,15]]}}}],"schema":"https://github.com/citation-style-language/schema/raw/master/csl-citation.json"} </w:instrText>
            </w:r>
            <w:r w:rsidRPr="00D5003F">
              <w:rPr>
                <w:rFonts w:ascii="Aptos" w:hAnsi="Aptos"/>
                <w:sz w:val="20"/>
                <w:szCs w:val="20"/>
                <w:lang w:val="en-US"/>
              </w:rPr>
              <w:fldChar w:fldCharType="separate"/>
            </w:r>
            <w:r w:rsidRPr="00D5003F">
              <w:rPr>
                <w:rFonts w:ascii="Aptos" w:hAnsi="Aptos"/>
                <w:sz w:val="20"/>
                <w:szCs w:val="20"/>
                <w:lang w:val="da-DK"/>
              </w:rPr>
              <w:t>(Tilstone et al., 2020)</w:t>
            </w:r>
            <w:r w:rsidRPr="00D5003F">
              <w:rPr>
                <w:rFonts w:ascii="Aptos" w:hAnsi="Aptos"/>
                <w:sz w:val="20"/>
                <w:szCs w:val="20"/>
                <w:lang w:val="en-US"/>
              </w:rPr>
              <w:fldChar w:fldCharType="end"/>
            </w:r>
          </w:p>
          <w:p w14:paraId="2AFFE9F8" w14:textId="6DEAA745" w:rsidR="00B432A2" w:rsidRPr="00D5003F" w:rsidRDefault="00B432A2" w:rsidP="00B432A2">
            <w:pPr>
              <w:widowControl w:val="0"/>
              <w:spacing w:line="240" w:lineRule="auto"/>
              <w:rPr>
                <w:rFonts w:ascii="Aptos" w:hAnsi="Aptos"/>
                <w:sz w:val="20"/>
                <w:szCs w:val="20"/>
              </w:rPr>
            </w:pPr>
          </w:p>
        </w:tc>
      </w:tr>
      <w:tr w:rsidR="00C62C41" w:rsidRPr="00D5003F" w14:paraId="29A6FDC6" w14:textId="77777777">
        <w:trPr>
          <w:jc w:val="center"/>
        </w:trPr>
        <w:tc>
          <w:tcPr>
            <w:tcW w:w="1449" w:type="dxa"/>
            <w:tcMar>
              <w:top w:w="100" w:type="dxa"/>
              <w:left w:w="100" w:type="dxa"/>
              <w:bottom w:w="100" w:type="dxa"/>
              <w:right w:w="100" w:type="dxa"/>
            </w:tcMar>
          </w:tcPr>
          <w:p w14:paraId="6F0909CA" w14:textId="77777777" w:rsidR="00C62C41" w:rsidRPr="00D5003F" w:rsidRDefault="00B35C73">
            <w:pPr>
              <w:widowControl w:val="0"/>
              <w:spacing w:line="240" w:lineRule="auto"/>
              <w:rPr>
                <w:rFonts w:ascii="Aptos" w:hAnsi="Aptos"/>
                <w:sz w:val="20"/>
                <w:szCs w:val="20"/>
              </w:rPr>
            </w:pPr>
            <w:r w:rsidRPr="00D5003F">
              <w:rPr>
                <w:rFonts w:ascii="Aptos" w:hAnsi="Aptos"/>
                <w:sz w:val="20"/>
                <w:szCs w:val="20"/>
              </w:rPr>
              <w:lastRenderedPageBreak/>
              <w:t>BRACHER_2020_MSM93</w:t>
            </w:r>
          </w:p>
          <w:p w14:paraId="48C989FC" w14:textId="77777777" w:rsidR="00C62C41" w:rsidRPr="00D5003F" w:rsidRDefault="00C62C41">
            <w:pPr>
              <w:widowControl w:val="0"/>
              <w:pBdr>
                <w:top w:val="nil"/>
                <w:left w:val="nil"/>
                <w:bottom w:val="nil"/>
                <w:right w:val="nil"/>
                <w:between w:val="nil"/>
              </w:pBdr>
              <w:spacing w:line="240" w:lineRule="auto"/>
              <w:rPr>
                <w:rFonts w:ascii="Aptos" w:hAnsi="Aptos"/>
                <w:sz w:val="20"/>
                <w:szCs w:val="20"/>
              </w:rPr>
            </w:pPr>
          </w:p>
        </w:tc>
        <w:tc>
          <w:tcPr>
            <w:tcW w:w="2161" w:type="dxa"/>
            <w:tcMar>
              <w:top w:w="100" w:type="dxa"/>
              <w:left w:w="100" w:type="dxa"/>
              <w:bottom w:w="100" w:type="dxa"/>
              <w:right w:w="100" w:type="dxa"/>
            </w:tcMar>
          </w:tcPr>
          <w:p w14:paraId="76BF6F45" w14:textId="77777777" w:rsidR="00C62C41" w:rsidRPr="00D5003F" w:rsidRDefault="00B35C73">
            <w:pPr>
              <w:widowControl w:val="0"/>
              <w:spacing w:line="240" w:lineRule="auto"/>
              <w:rPr>
                <w:rFonts w:ascii="Aptos" w:hAnsi="Aptos"/>
                <w:sz w:val="20"/>
                <w:szCs w:val="20"/>
              </w:rPr>
            </w:pPr>
            <w:r w:rsidRPr="00D5003F">
              <w:rPr>
                <w:rFonts w:ascii="Aptos" w:hAnsi="Aptos"/>
                <w:sz w:val="20"/>
                <w:szCs w:val="20"/>
              </w:rPr>
              <w:t>as BRACHER_2019_PS121</w:t>
            </w:r>
          </w:p>
        </w:tc>
        <w:tc>
          <w:tcPr>
            <w:tcW w:w="1944" w:type="dxa"/>
            <w:tcMar>
              <w:top w:w="100" w:type="dxa"/>
              <w:left w:w="100" w:type="dxa"/>
              <w:bottom w:w="100" w:type="dxa"/>
              <w:right w:w="100" w:type="dxa"/>
            </w:tcMar>
          </w:tcPr>
          <w:p w14:paraId="291CAB65" w14:textId="77777777" w:rsidR="00C62C41" w:rsidRPr="00D5003F" w:rsidRDefault="00B35C73">
            <w:pPr>
              <w:widowControl w:val="0"/>
              <w:spacing w:line="240" w:lineRule="auto"/>
              <w:rPr>
                <w:rFonts w:ascii="Aptos" w:hAnsi="Aptos"/>
                <w:sz w:val="20"/>
                <w:szCs w:val="20"/>
              </w:rPr>
            </w:pPr>
            <w:r w:rsidRPr="00D5003F">
              <w:rPr>
                <w:rFonts w:ascii="Aptos" w:hAnsi="Aptos"/>
                <w:sz w:val="20"/>
                <w:szCs w:val="20"/>
              </w:rPr>
              <w:t>as BRACHER_2019_PS121</w:t>
            </w:r>
          </w:p>
        </w:tc>
        <w:tc>
          <w:tcPr>
            <w:tcW w:w="1775" w:type="dxa"/>
            <w:tcMar>
              <w:top w:w="100" w:type="dxa"/>
              <w:left w:w="100" w:type="dxa"/>
              <w:bottom w:w="100" w:type="dxa"/>
              <w:right w:w="100" w:type="dxa"/>
            </w:tcMar>
          </w:tcPr>
          <w:p w14:paraId="4BE808F3" w14:textId="77777777" w:rsidR="00C62C41" w:rsidRPr="00D5003F" w:rsidRDefault="00B35C73">
            <w:pPr>
              <w:widowControl w:val="0"/>
              <w:spacing w:line="240" w:lineRule="auto"/>
              <w:rPr>
                <w:rFonts w:ascii="Aptos" w:hAnsi="Aptos"/>
                <w:sz w:val="20"/>
                <w:szCs w:val="20"/>
              </w:rPr>
            </w:pPr>
            <w:r w:rsidRPr="00D5003F">
              <w:rPr>
                <w:rFonts w:ascii="Aptos" w:hAnsi="Aptos"/>
                <w:sz w:val="20"/>
                <w:szCs w:val="20"/>
              </w:rPr>
              <w:t>as BRACHER_2019_PS121</w:t>
            </w:r>
          </w:p>
        </w:tc>
        <w:tc>
          <w:tcPr>
            <w:tcW w:w="1775" w:type="dxa"/>
            <w:tcMar>
              <w:top w:w="100" w:type="dxa"/>
              <w:left w:w="100" w:type="dxa"/>
              <w:bottom w:w="100" w:type="dxa"/>
              <w:right w:w="100" w:type="dxa"/>
            </w:tcMar>
          </w:tcPr>
          <w:p w14:paraId="1FAC2227" w14:textId="77777777" w:rsidR="00C62C41" w:rsidRPr="00D5003F" w:rsidRDefault="00B35C73">
            <w:pPr>
              <w:widowControl w:val="0"/>
              <w:spacing w:line="240" w:lineRule="auto"/>
              <w:rPr>
                <w:rFonts w:ascii="Aptos" w:hAnsi="Aptos"/>
                <w:sz w:val="20"/>
                <w:szCs w:val="20"/>
              </w:rPr>
            </w:pPr>
            <w:r w:rsidRPr="00D5003F">
              <w:rPr>
                <w:rFonts w:ascii="Aptos" w:hAnsi="Aptos"/>
                <w:sz w:val="20"/>
                <w:szCs w:val="20"/>
              </w:rPr>
              <w:t>as BRACHER_2019_PS121</w:t>
            </w:r>
          </w:p>
        </w:tc>
      </w:tr>
      <w:tr w:rsidR="00C62C41" w:rsidRPr="00D5003F" w14:paraId="67FA743E" w14:textId="77777777">
        <w:trPr>
          <w:jc w:val="center"/>
        </w:trPr>
        <w:tc>
          <w:tcPr>
            <w:tcW w:w="1449" w:type="dxa"/>
            <w:tcMar>
              <w:top w:w="100" w:type="dxa"/>
              <w:left w:w="100" w:type="dxa"/>
              <w:bottom w:w="100" w:type="dxa"/>
              <w:right w:w="100" w:type="dxa"/>
            </w:tcMar>
          </w:tcPr>
          <w:p w14:paraId="066252F9" w14:textId="77777777" w:rsidR="00C62C41" w:rsidRPr="00D5003F" w:rsidRDefault="00B35C73">
            <w:pPr>
              <w:widowControl w:val="0"/>
              <w:spacing w:line="240" w:lineRule="auto"/>
              <w:rPr>
                <w:rFonts w:ascii="Aptos" w:hAnsi="Aptos"/>
                <w:sz w:val="20"/>
                <w:szCs w:val="20"/>
              </w:rPr>
            </w:pPr>
            <w:r w:rsidRPr="00D5003F">
              <w:rPr>
                <w:rFonts w:ascii="Aptos" w:hAnsi="Aptos"/>
                <w:sz w:val="20"/>
                <w:szCs w:val="20"/>
              </w:rPr>
              <w:t>BRACHER_2021_PS126</w:t>
            </w:r>
          </w:p>
          <w:p w14:paraId="0515DD39" w14:textId="77777777" w:rsidR="00C62C41" w:rsidRPr="00D5003F" w:rsidRDefault="00C62C41">
            <w:pPr>
              <w:widowControl w:val="0"/>
              <w:pBdr>
                <w:top w:val="nil"/>
                <w:left w:val="nil"/>
                <w:bottom w:val="nil"/>
                <w:right w:val="nil"/>
                <w:between w:val="nil"/>
              </w:pBdr>
              <w:spacing w:line="240" w:lineRule="auto"/>
              <w:rPr>
                <w:rFonts w:ascii="Aptos" w:hAnsi="Aptos"/>
                <w:sz w:val="20"/>
                <w:szCs w:val="20"/>
              </w:rPr>
            </w:pPr>
          </w:p>
          <w:p w14:paraId="32D4811D" w14:textId="77777777" w:rsidR="00C62C41" w:rsidRPr="00D5003F" w:rsidRDefault="00C62C41">
            <w:pPr>
              <w:widowControl w:val="0"/>
              <w:pBdr>
                <w:top w:val="nil"/>
                <w:left w:val="nil"/>
                <w:bottom w:val="nil"/>
                <w:right w:val="nil"/>
                <w:between w:val="nil"/>
              </w:pBdr>
              <w:spacing w:line="240" w:lineRule="auto"/>
              <w:rPr>
                <w:rFonts w:ascii="Aptos" w:hAnsi="Aptos"/>
                <w:sz w:val="20"/>
                <w:szCs w:val="20"/>
              </w:rPr>
            </w:pPr>
          </w:p>
        </w:tc>
        <w:tc>
          <w:tcPr>
            <w:tcW w:w="2161" w:type="dxa"/>
            <w:tcMar>
              <w:top w:w="100" w:type="dxa"/>
              <w:left w:w="100" w:type="dxa"/>
              <w:bottom w:w="100" w:type="dxa"/>
              <w:right w:w="100" w:type="dxa"/>
            </w:tcMar>
          </w:tcPr>
          <w:p w14:paraId="1D6A1239" w14:textId="77777777" w:rsidR="00C62C41" w:rsidRPr="00D5003F" w:rsidRDefault="00B35C73">
            <w:pPr>
              <w:widowControl w:val="0"/>
              <w:spacing w:line="240" w:lineRule="auto"/>
              <w:rPr>
                <w:rFonts w:ascii="Aptos" w:hAnsi="Aptos"/>
                <w:sz w:val="20"/>
                <w:szCs w:val="20"/>
              </w:rPr>
            </w:pPr>
            <w:r w:rsidRPr="00D5003F">
              <w:rPr>
                <w:rFonts w:ascii="Aptos" w:hAnsi="Aptos"/>
                <w:sz w:val="20"/>
                <w:szCs w:val="20"/>
              </w:rPr>
              <w:t>as BRACHER_2019_PS121</w:t>
            </w:r>
          </w:p>
        </w:tc>
        <w:tc>
          <w:tcPr>
            <w:tcW w:w="1944" w:type="dxa"/>
            <w:tcMar>
              <w:top w:w="100" w:type="dxa"/>
              <w:left w:w="100" w:type="dxa"/>
              <w:bottom w:w="100" w:type="dxa"/>
              <w:right w:w="100" w:type="dxa"/>
            </w:tcMar>
          </w:tcPr>
          <w:p w14:paraId="0949E2A3" w14:textId="77777777" w:rsidR="00C62C41" w:rsidRPr="00D5003F" w:rsidRDefault="00B35C73">
            <w:pPr>
              <w:widowControl w:val="0"/>
              <w:spacing w:line="240" w:lineRule="auto"/>
              <w:rPr>
                <w:rFonts w:ascii="Aptos" w:hAnsi="Aptos"/>
                <w:sz w:val="20"/>
                <w:szCs w:val="20"/>
              </w:rPr>
            </w:pPr>
            <w:r w:rsidRPr="00D5003F">
              <w:rPr>
                <w:rFonts w:ascii="Aptos" w:hAnsi="Aptos"/>
                <w:sz w:val="20"/>
                <w:szCs w:val="20"/>
              </w:rPr>
              <w:t>as BRACHER_2019_PS121</w:t>
            </w:r>
          </w:p>
        </w:tc>
        <w:tc>
          <w:tcPr>
            <w:tcW w:w="1775" w:type="dxa"/>
            <w:tcMar>
              <w:top w:w="100" w:type="dxa"/>
              <w:left w:w="100" w:type="dxa"/>
              <w:bottom w:w="100" w:type="dxa"/>
              <w:right w:w="100" w:type="dxa"/>
            </w:tcMar>
          </w:tcPr>
          <w:p w14:paraId="72883717" w14:textId="77777777" w:rsidR="00C62C41" w:rsidRPr="00D5003F" w:rsidRDefault="00B35C73">
            <w:pPr>
              <w:widowControl w:val="0"/>
              <w:spacing w:line="240" w:lineRule="auto"/>
              <w:rPr>
                <w:rFonts w:ascii="Aptos" w:hAnsi="Aptos"/>
                <w:sz w:val="20"/>
                <w:szCs w:val="20"/>
              </w:rPr>
            </w:pPr>
            <w:r w:rsidRPr="00D5003F">
              <w:rPr>
                <w:rFonts w:ascii="Aptos" w:hAnsi="Aptos"/>
                <w:sz w:val="20"/>
                <w:szCs w:val="20"/>
              </w:rPr>
              <w:t>as BRACHER_2019_PS121</w:t>
            </w:r>
          </w:p>
        </w:tc>
        <w:tc>
          <w:tcPr>
            <w:tcW w:w="1775" w:type="dxa"/>
            <w:tcMar>
              <w:top w:w="100" w:type="dxa"/>
              <w:left w:w="100" w:type="dxa"/>
              <w:bottom w:w="100" w:type="dxa"/>
              <w:right w:w="100" w:type="dxa"/>
            </w:tcMar>
          </w:tcPr>
          <w:p w14:paraId="6EB6702E" w14:textId="77777777" w:rsidR="00C62C41" w:rsidRPr="00D5003F" w:rsidRDefault="00B35C73">
            <w:pPr>
              <w:widowControl w:val="0"/>
              <w:spacing w:line="240" w:lineRule="auto"/>
              <w:rPr>
                <w:rFonts w:ascii="Aptos" w:hAnsi="Aptos"/>
                <w:sz w:val="20"/>
                <w:szCs w:val="20"/>
              </w:rPr>
            </w:pPr>
            <w:r w:rsidRPr="00D5003F">
              <w:rPr>
                <w:rFonts w:ascii="Aptos" w:hAnsi="Aptos"/>
                <w:sz w:val="20"/>
                <w:szCs w:val="20"/>
              </w:rPr>
              <w:t>as BRACHER_2019_PS121</w:t>
            </w:r>
          </w:p>
        </w:tc>
      </w:tr>
      <w:tr w:rsidR="00C62C41" w:rsidRPr="00D5003F" w14:paraId="287FE87A" w14:textId="77777777">
        <w:trPr>
          <w:jc w:val="center"/>
        </w:trPr>
        <w:tc>
          <w:tcPr>
            <w:tcW w:w="1449" w:type="dxa"/>
            <w:tcMar>
              <w:top w:w="100" w:type="dxa"/>
              <w:left w:w="100" w:type="dxa"/>
              <w:bottom w:w="100" w:type="dxa"/>
              <w:right w:w="100" w:type="dxa"/>
            </w:tcMar>
          </w:tcPr>
          <w:p w14:paraId="0E4A5F25" w14:textId="77777777" w:rsidR="00C62C41" w:rsidRPr="00D5003F" w:rsidRDefault="00C62C41">
            <w:pPr>
              <w:widowControl w:val="0"/>
              <w:pBdr>
                <w:top w:val="nil"/>
                <w:left w:val="nil"/>
                <w:bottom w:val="nil"/>
                <w:right w:val="nil"/>
                <w:between w:val="nil"/>
              </w:pBdr>
              <w:spacing w:line="240" w:lineRule="auto"/>
              <w:rPr>
                <w:rFonts w:ascii="Aptos" w:hAnsi="Aptos"/>
                <w:sz w:val="20"/>
                <w:szCs w:val="20"/>
              </w:rPr>
            </w:pPr>
          </w:p>
          <w:p w14:paraId="5630C224" w14:textId="77777777" w:rsidR="00C62C41" w:rsidRPr="00D5003F" w:rsidRDefault="00B35C73">
            <w:pPr>
              <w:widowControl w:val="0"/>
              <w:spacing w:line="240" w:lineRule="auto"/>
              <w:rPr>
                <w:rFonts w:ascii="Aptos" w:hAnsi="Aptos"/>
                <w:sz w:val="20"/>
                <w:szCs w:val="20"/>
              </w:rPr>
            </w:pPr>
            <w:r w:rsidRPr="00D5003F">
              <w:rPr>
                <w:rFonts w:ascii="Aptos" w:hAnsi="Aptos"/>
                <w:sz w:val="20"/>
                <w:szCs w:val="20"/>
              </w:rPr>
              <w:t>BRACHER_2022_PS131_ATWAICE</w:t>
            </w:r>
          </w:p>
          <w:p w14:paraId="2794C5A8" w14:textId="77777777" w:rsidR="00C62C41" w:rsidRPr="00D5003F" w:rsidRDefault="00C62C41">
            <w:pPr>
              <w:widowControl w:val="0"/>
              <w:pBdr>
                <w:top w:val="nil"/>
                <w:left w:val="nil"/>
                <w:bottom w:val="nil"/>
                <w:right w:val="nil"/>
                <w:between w:val="nil"/>
              </w:pBdr>
              <w:spacing w:line="240" w:lineRule="auto"/>
              <w:rPr>
                <w:rFonts w:ascii="Aptos" w:hAnsi="Aptos"/>
                <w:sz w:val="20"/>
                <w:szCs w:val="20"/>
              </w:rPr>
            </w:pPr>
          </w:p>
        </w:tc>
        <w:tc>
          <w:tcPr>
            <w:tcW w:w="2161" w:type="dxa"/>
            <w:tcMar>
              <w:top w:w="100" w:type="dxa"/>
              <w:left w:w="100" w:type="dxa"/>
              <w:bottom w:w="100" w:type="dxa"/>
              <w:right w:w="100" w:type="dxa"/>
            </w:tcMar>
          </w:tcPr>
          <w:p w14:paraId="116F8B10" w14:textId="77777777" w:rsidR="00C62C41" w:rsidRPr="00D5003F" w:rsidRDefault="00B35C73">
            <w:pPr>
              <w:widowControl w:val="0"/>
              <w:spacing w:line="240" w:lineRule="auto"/>
              <w:rPr>
                <w:rFonts w:ascii="Aptos" w:hAnsi="Aptos"/>
                <w:sz w:val="20"/>
                <w:szCs w:val="20"/>
              </w:rPr>
            </w:pPr>
            <w:r w:rsidRPr="00D5003F">
              <w:rPr>
                <w:rFonts w:ascii="Aptos" w:hAnsi="Aptos"/>
                <w:sz w:val="20"/>
                <w:szCs w:val="20"/>
              </w:rPr>
              <w:t>as BRACHER_2019_PS121</w:t>
            </w:r>
          </w:p>
        </w:tc>
        <w:tc>
          <w:tcPr>
            <w:tcW w:w="1944" w:type="dxa"/>
            <w:tcMar>
              <w:top w:w="100" w:type="dxa"/>
              <w:left w:w="100" w:type="dxa"/>
              <w:bottom w:w="100" w:type="dxa"/>
              <w:right w:w="100" w:type="dxa"/>
            </w:tcMar>
          </w:tcPr>
          <w:p w14:paraId="7F368DCB" w14:textId="77777777" w:rsidR="00C62C41" w:rsidRPr="00D5003F" w:rsidRDefault="00B35C73">
            <w:pPr>
              <w:widowControl w:val="0"/>
              <w:spacing w:line="240" w:lineRule="auto"/>
              <w:rPr>
                <w:rFonts w:ascii="Aptos" w:hAnsi="Aptos"/>
                <w:sz w:val="20"/>
                <w:szCs w:val="20"/>
              </w:rPr>
            </w:pPr>
            <w:r w:rsidRPr="00D5003F">
              <w:rPr>
                <w:rFonts w:ascii="Aptos" w:hAnsi="Aptos"/>
                <w:sz w:val="20"/>
                <w:szCs w:val="20"/>
              </w:rPr>
              <w:t>as BRACHER_2019_PS121</w:t>
            </w:r>
          </w:p>
        </w:tc>
        <w:tc>
          <w:tcPr>
            <w:tcW w:w="1775" w:type="dxa"/>
            <w:tcMar>
              <w:top w:w="100" w:type="dxa"/>
              <w:left w:w="100" w:type="dxa"/>
              <w:bottom w:w="100" w:type="dxa"/>
              <w:right w:w="100" w:type="dxa"/>
            </w:tcMar>
          </w:tcPr>
          <w:p w14:paraId="6AEAB2A8" w14:textId="77777777" w:rsidR="00C62C41" w:rsidRPr="00D5003F" w:rsidRDefault="00B35C73">
            <w:pPr>
              <w:widowControl w:val="0"/>
              <w:spacing w:line="240" w:lineRule="auto"/>
              <w:rPr>
                <w:rFonts w:ascii="Aptos" w:hAnsi="Aptos"/>
                <w:sz w:val="20"/>
                <w:szCs w:val="20"/>
              </w:rPr>
            </w:pPr>
            <w:r w:rsidRPr="00D5003F">
              <w:rPr>
                <w:rFonts w:ascii="Aptos" w:hAnsi="Aptos"/>
                <w:sz w:val="20"/>
                <w:szCs w:val="20"/>
              </w:rPr>
              <w:t>as BRACHER_2019_PS121</w:t>
            </w:r>
          </w:p>
        </w:tc>
        <w:tc>
          <w:tcPr>
            <w:tcW w:w="1775" w:type="dxa"/>
            <w:tcMar>
              <w:top w:w="100" w:type="dxa"/>
              <w:left w:w="100" w:type="dxa"/>
              <w:bottom w:w="100" w:type="dxa"/>
              <w:right w:w="100" w:type="dxa"/>
            </w:tcMar>
          </w:tcPr>
          <w:p w14:paraId="48D4D86F" w14:textId="77777777" w:rsidR="00C62C41" w:rsidRPr="00D5003F" w:rsidRDefault="00B35C73">
            <w:pPr>
              <w:widowControl w:val="0"/>
              <w:spacing w:line="240" w:lineRule="auto"/>
              <w:rPr>
                <w:rFonts w:ascii="Aptos" w:hAnsi="Aptos"/>
                <w:sz w:val="20"/>
                <w:szCs w:val="20"/>
              </w:rPr>
            </w:pPr>
            <w:r w:rsidRPr="00D5003F">
              <w:rPr>
                <w:rFonts w:ascii="Aptos" w:hAnsi="Aptos"/>
                <w:sz w:val="20"/>
                <w:szCs w:val="20"/>
              </w:rPr>
              <w:t>as BRACHER_2019_PS121</w:t>
            </w:r>
          </w:p>
        </w:tc>
      </w:tr>
      <w:tr w:rsidR="00C62C41" w:rsidRPr="00D5003F" w14:paraId="7C84BA60" w14:textId="77777777">
        <w:trPr>
          <w:jc w:val="center"/>
        </w:trPr>
        <w:tc>
          <w:tcPr>
            <w:tcW w:w="1449" w:type="dxa"/>
            <w:tcMar>
              <w:top w:w="100" w:type="dxa"/>
              <w:left w:w="100" w:type="dxa"/>
              <w:bottom w:w="100" w:type="dxa"/>
              <w:right w:w="100" w:type="dxa"/>
            </w:tcMar>
          </w:tcPr>
          <w:p w14:paraId="4E06551B" w14:textId="77777777" w:rsidR="00C62C41" w:rsidRPr="00D5003F" w:rsidRDefault="00C62C41">
            <w:pPr>
              <w:widowControl w:val="0"/>
              <w:pBdr>
                <w:top w:val="nil"/>
                <w:left w:val="nil"/>
                <w:bottom w:val="nil"/>
                <w:right w:val="nil"/>
                <w:between w:val="nil"/>
              </w:pBdr>
              <w:spacing w:line="240" w:lineRule="auto"/>
              <w:rPr>
                <w:rFonts w:ascii="Aptos" w:hAnsi="Aptos"/>
                <w:sz w:val="20"/>
                <w:szCs w:val="20"/>
              </w:rPr>
            </w:pPr>
          </w:p>
          <w:p w14:paraId="63FBBCE8" w14:textId="77777777" w:rsidR="00C62C41" w:rsidRPr="00D5003F" w:rsidRDefault="00B35C73">
            <w:pPr>
              <w:widowControl w:val="0"/>
              <w:spacing w:line="240" w:lineRule="auto"/>
              <w:rPr>
                <w:rFonts w:ascii="Aptos" w:hAnsi="Aptos"/>
                <w:sz w:val="20"/>
                <w:szCs w:val="20"/>
              </w:rPr>
            </w:pPr>
            <w:r w:rsidRPr="00D5003F">
              <w:rPr>
                <w:rFonts w:ascii="Aptos" w:hAnsi="Aptos"/>
                <w:sz w:val="20"/>
                <w:szCs w:val="20"/>
              </w:rPr>
              <w:t>BRACHER_2023_PS136_HAUSGARTEN</w:t>
            </w:r>
          </w:p>
          <w:p w14:paraId="4B8AF0CA" w14:textId="77777777" w:rsidR="00C62C41" w:rsidRPr="00D5003F" w:rsidRDefault="00C62C41">
            <w:pPr>
              <w:widowControl w:val="0"/>
              <w:pBdr>
                <w:top w:val="nil"/>
                <w:left w:val="nil"/>
                <w:bottom w:val="nil"/>
                <w:right w:val="nil"/>
                <w:between w:val="nil"/>
              </w:pBdr>
              <w:spacing w:line="240" w:lineRule="auto"/>
              <w:rPr>
                <w:rFonts w:ascii="Aptos" w:hAnsi="Aptos"/>
                <w:sz w:val="20"/>
                <w:szCs w:val="20"/>
              </w:rPr>
            </w:pPr>
          </w:p>
        </w:tc>
        <w:tc>
          <w:tcPr>
            <w:tcW w:w="2161" w:type="dxa"/>
            <w:tcMar>
              <w:top w:w="100" w:type="dxa"/>
              <w:left w:w="100" w:type="dxa"/>
              <w:bottom w:w="100" w:type="dxa"/>
              <w:right w:w="100" w:type="dxa"/>
            </w:tcMar>
          </w:tcPr>
          <w:p w14:paraId="2C444D6D" w14:textId="77777777" w:rsidR="00C62C41" w:rsidRPr="00D5003F" w:rsidRDefault="00B35C73">
            <w:pPr>
              <w:widowControl w:val="0"/>
              <w:spacing w:line="240" w:lineRule="auto"/>
              <w:rPr>
                <w:rFonts w:ascii="Aptos" w:hAnsi="Aptos"/>
                <w:sz w:val="20"/>
                <w:szCs w:val="20"/>
              </w:rPr>
            </w:pPr>
            <w:r w:rsidRPr="00D5003F">
              <w:rPr>
                <w:rFonts w:ascii="Aptos" w:hAnsi="Aptos"/>
                <w:sz w:val="20"/>
                <w:szCs w:val="20"/>
              </w:rPr>
              <w:t>as BRACHER_2019_PS121</w:t>
            </w:r>
          </w:p>
        </w:tc>
        <w:tc>
          <w:tcPr>
            <w:tcW w:w="1944" w:type="dxa"/>
            <w:tcMar>
              <w:top w:w="100" w:type="dxa"/>
              <w:left w:w="100" w:type="dxa"/>
              <w:bottom w:w="100" w:type="dxa"/>
              <w:right w:w="100" w:type="dxa"/>
            </w:tcMar>
          </w:tcPr>
          <w:p w14:paraId="535B127B" w14:textId="77777777" w:rsidR="00C62C41" w:rsidRPr="00D5003F" w:rsidRDefault="00B35C73">
            <w:pPr>
              <w:widowControl w:val="0"/>
              <w:spacing w:line="240" w:lineRule="auto"/>
              <w:rPr>
                <w:rFonts w:ascii="Aptos" w:hAnsi="Aptos"/>
                <w:sz w:val="20"/>
                <w:szCs w:val="20"/>
              </w:rPr>
            </w:pPr>
            <w:r w:rsidRPr="00D5003F">
              <w:rPr>
                <w:rFonts w:ascii="Aptos" w:hAnsi="Aptos"/>
                <w:sz w:val="20"/>
                <w:szCs w:val="20"/>
              </w:rPr>
              <w:t>as BRACHER_2019_PS121</w:t>
            </w:r>
          </w:p>
        </w:tc>
        <w:tc>
          <w:tcPr>
            <w:tcW w:w="1775" w:type="dxa"/>
            <w:tcMar>
              <w:top w:w="100" w:type="dxa"/>
              <w:left w:w="100" w:type="dxa"/>
              <w:bottom w:w="100" w:type="dxa"/>
              <w:right w:w="100" w:type="dxa"/>
            </w:tcMar>
          </w:tcPr>
          <w:p w14:paraId="67E0E840" w14:textId="77777777" w:rsidR="00C62C41" w:rsidRPr="00D5003F" w:rsidRDefault="00B35C73">
            <w:pPr>
              <w:widowControl w:val="0"/>
              <w:spacing w:line="240" w:lineRule="auto"/>
              <w:rPr>
                <w:rFonts w:ascii="Aptos" w:hAnsi="Aptos"/>
                <w:sz w:val="20"/>
                <w:szCs w:val="20"/>
              </w:rPr>
            </w:pPr>
            <w:r w:rsidRPr="00D5003F">
              <w:rPr>
                <w:rFonts w:ascii="Aptos" w:hAnsi="Aptos"/>
                <w:sz w:val="20"/>
                <w:szCs w:val="20"/>
              </w:rPr>
              <w:t>as BRACHER_2019_PS121</w:t>
            </w:r>
          </w:p>
        </w:tc>
        <w:tc>
          <w:tcPr>
            <w:tcW w:w="1775" w:type="dxa"/>
            <w:tcMar>
              <w:top w:w="100" w:type="dxa"/>
              <w:left w:w="100" w:type="dxa"/>
              <w:bottom w:w="100" w:type="dxa"/>
              <w:right w:w="100" w:type="dxa"/>
            </w:tcMar>
          </w:tcPr>
          <w:p w14:paraId="3A3ACAD9" w14:textId="77777777" w:rsidR="00C62C41" w:rsidRPr="00D5003F" w:rsidRDefault="00B35C73">
            <w:pPr>
              <w:widowControl w:val="0"/>
              <w:spacing w:line="240" w:lineRule="auto"/>
              <w:rPr>
                <w:rFonts w:ascii="Aptos" w:hAnsi="Aptos"/>
                <w:sz w:val="20"/>
                <w:szCs w:val="20"/>
              </w:rPr>
            </w:pPr>
            <w:r w:rsidRPr="00D5003F">
              <w:rPr>
                <w:rFonts w:ascii="Aptos" w:hAnsi="Aptos"/>
                <w:sz w:val="20"/>
                <w:szCs w:val="20"/>
              </w:rPr>
              <w:t>as BRACHER_2019_PS121</w:t>
            </w:r>
          </w:p>
        </w:tc>
      </w:tr>
      <w:tr w:rsidR="00C62C41" w:rsidRPr="00D5003F" w14:paraId="33BACA93" w14:textId="77777777">
        <w:trPr>
          <w:jc w:val="center"/>
        </w:trPr>
        <w:tc>
          <w:tcPr>
            <w:tcW w:w="1449" w:type="dxa"/>
            <w:tcMar>
              <w:top w:w="100" w:type="dxa"/>
              <w:left w:w="100" w:type="dxa"/>
              <w:bottom w:w="100" w:type="dxa"/>
              <w:right w:w="100" w:type="dxa"/>
            </w:tcMar>
          </w:tcPr>
          <w:p w14:paraId="0AEEE306" w14:textId="77777777" w:rsidR="00C62C41" w:rsidRPr="00D5003F" w:rsidRDefault="00C62C41">
            <w:pPr>
              <w:widowControl w:val="0"/>
              <w:spacing w:line="240" w:lineRule="auto"/>
              <w:rPr>
                <w:rFonts w:ascii="Aptos" w:hAnsi="Aptos"/>
                <w:sz w:val="20"/>
                <w:szCs w:val="20"/>
              </w:rPr>
            </w:pPr>
          </w:p>
          <w:p w14:paraId="09881142" w14:textId="77777777" w:rsidR="00C62C41" w:rsidRPr="00D5003F" w:rsidRDefault="00B35C73">
            <w:pPr>
              <w:widowControl w:val="0"/>
              <w:spacing w:line="240" w:lineRule="auto"/>
              <w:rPr>
                <w:rFonts w:ascii="Aptos" w:hAnsi="Aptos"/>
                <w:sz w:val="20"/>
                <w:szCs w:val="20"/>
              </w:rPr>
            </w:pPr>
            <w:r w:rsidRPr="00D5003F">
              <w:rPr>
                <w:rFonts w:ascii="Aptos" w:hAnsi="Aptos"/>
                <w:sz w:val="20"/>
                <w:szCs w:val="20"/>
              </w:rPr>
              <w:t>BRACHER_2024_PS143.2</w:t>
            </w:r>
          </w:p>
          <w:p w14:paraId="440ACDAB" w14:textId="77777777" w:rsidR="00C62C41" w:rsidRPr="00D5003F" w:rsidRDefault="00C62C41">
            <w:pPr>
              <w:widowControl w:val="0"/>
              <w:pBdr>
                <w:top w:val="nil"/>
                <w:left w:val="nil"/>
                <w:bottom w:val="nil"/>
                <w:right w:val="nil"/>
                <w:between w:val="nil"/>
              </w:pBdr>
              <w:spacing w:line="240" w:lineRule="auto"/>
              <w:rPr>
                <w:rFonts w:ascii="Aptos" w:hAnsi="Aptos"/>
                <w:sz w:val="20"/>
                <w:szCs w:val="20"/>
              </w:rPr>
            </w:pPr>
          </w:p>
          <w:p w14:paraId="6D80F7E7" w14:textId="77777777" w:rsidR="00C62C41" w:rsidRPr="00D5003F" w:rsidRDefault="00C62C41">
            <w:pPr>
              <w:widowControl w:val="0"/>
              <w:pBdr>
                <w:top w:val="nil"/>
                <w:left w:val="nil"/>
                <w:bottom w:val="nil"/>
                <w:right w:val="nil"/>
                <w:between w:val="nil"/>
              </w:pBdr>
              <w:spacing w:line="240" w:lineRule="auto"/>
              <w:rPr>
                <w:rFonts w:ascii="Aptos" w:hAnsi="Aptos"/>
                <w:sz w:val="20"/>
                <w:szCs w:val="20"/>
              </w:rPr>
            </w:pPr>
          </w:p>
        </w:tc>
        <w:tc>
          <w:tcPr>
            <w:tcW w:w="2161" w:type="dxa"/>
            <w:tcMar>
              <w:top w:w="100" w:type="dxa"/>
              <w:left w:w="100" w:type="dxa"/>
              <w:bottom w:w="100" w:type="dxa"/>
              <w:right w:w="100" w:type="dxa"/>
            </w:tcMar>
          </w:tcPr>
          <w:p w14:paraId="07B35082" w14:textId="77777777" w:rsidR="00C62C41" w:rsidRPr="00D5003F" w:rsidRDefault="00B35C73">
            <w:pPr>
              <w:widowControl w:val="0"/>
              <w:spacing w:line="240" w:lineRule="auto"/>
              <w:rPr>
                <w:rFonts w:ascii="Aptos" w:hAnsi="Aptos"/>
                <w:sz w:val="20"/>
                <w:szCs w:val="20"/>
              </w:rPr>
            </w:pPr>
            <w:r w:rsidRPr="00D5003F">
              <w:rPr>
                <w:rFonts w:ascii="Aptos" w:hAnsi="Aptos"/>
                <w:sz w:val="20"/>
                <w:szCs w:val="20"/>
              </w:rPr>
              <w:t>as BRACHER_2019_PS121</w:t>
            </w:r>
          </w:p>
        </w:tc>
        <w:tc>
          <w:tcPr>
            <w:tcW w:w="1944" w:type="dxa"/>
            <w:tcMar>
              <w:top w:w="100" w:type="dxa"/>
              <w:left w:w="100" w:type="dxa"/>
              <w:bottom w:w="100" w:type="dxa"/>
              <w:right w:w="100" w:type="dxa"/>
            </w:tcMar>
          </w:tcPr>
          <w:p w14:paraId="05243ACF" w14:textId="77777777" w:rsidR="00C62C41" w:rsidRPr="00D5003F" w:rsidRDefault="00B35C73">
            <w:pPr>
              <w:widowControl w:val="0"/>
              <w:spacing w:line="240" w:lineRule="auto"/>
              <w:rPr>
                <w:rFonts w:ascii="Aptos" w:hAnsi="Aptos"/>
                <w:sz w:val="20"/>
                <w:szCs w:val="20"/>
              </w:rPr>
            </w:pPr>
            <w:r w:rsidRPr="00D5003F">
              <w:rPr>
                <w:rFonts w:ascii="Aptos" w:hAnsi="Aptos"/>
                <w:sz w:val="20"/>
                <w:szCs w:val="20"/>
              </w:rPr>
              <w:t>as BRACHER_2019_PS121</w:t>
            </w:r>
          </w:p>
        </w:tc>
        <w:tc>
          <w:tcPr>
            <w:tcW w:w="1775" w:type="dxa"/>
            <w:tcMar>
              <w:top w:w="100" w:type="dxa"/>
              <w:left w:w="100" w:type="dxa"/>
              <w:bottom w:w="100" w:type="dxa"/>
              <w:right w:w="100" w:type="dxa"/>
            </w:tcMar>
          </w:tcPr>
          <w:p w14:paraId="59F0D7C9" w14:textId="77777777" w:rsidR="00C62C41" w:rsidRPr="00D5003F" w:rsidRDefault="00B35C73">
            <w:pPr>
              <w:widowControl w:val="0"/>
              <w:spacing w:line="240" w:lineRule="auto"/>
              <w:rPr>
                <w:rFonts w:ascii="Aptos" w:hAnsi="Aptos"/>
                <w:sz w:val="20"/>
                <w:szCs w:val="20"/>
              </w:rPr>
            </w:pPr>
            <w:r w:rsidRPr="00D5003F">
              <w:rPr>
                <w:rFonts w:ascii="Aptos" w:hAnsi="Aptos"/>
                <w:sz w:val="20"/>
                <w:szCs w:val="20"/>
              </w:rPr>
              <w:t>as BRACHER_2019_PS121</w:t>
            </w:r>
          </w:p>
        </w:tc>
        <w:tc>
          <w:tcPr>
            <w:tcW w:w="1775" w:type="dxa"/>
            <w:tcMar>
              <w:top w:w="100" w:type="dxa"/>
              <w:left w:w="100" w:type="dxa"/>
              <w:bottom w:w="100" w:type="dxa"/>
              <w:right w:w="100" w:type="dxa"/>
            </w:tcMar>
          </w:tcPr>
          <w:p w14:paraId="079329E4" w14:textId="77777777" w:rsidR="00C62C41" w:rsidRPr="00D5003F" w:rsidRDefault="00B35C73">
            <w:pPr>
              <w:widowControl w:val="0"/>
              <w:spacing w:line="240" w:lineRule="auto"/>
              <w:rPr>
                <w:rFonts w:ascii="Aptos" w:hAnsi="Aptos"/>
                <w:sz w:val="20"/>
                <w:szCs w:val="20"/>
              </w:rPr>
            </w:pPr>
            <w:r w:rsidRPr="00D5003F">
              <w:rPr>
                <w:rFonts w:ascii="Aptos" w:hAnsi="Aptos"/>
                <w:sz w:val="20"/>
                <w:szCs w:val="20"/>
              </w:rPr>
              <w:t>as BRACHER_2019_PS121</w:t>
            </w:r>
          </w:p>
        </w:tc>
      </w:tr>
      <w:tr w:rsidR="00C62C41" w:rsidRPr="00D5003F" w14:paraId="3B6FB4F0" w14:textId="77777777">
        <w:trPr>
          <w:jc w:val="center"/>
        </w:trPr>
        <w:tc>
          <w:tcPr>
            <w:tcW w:w="1449" w:type="dxa"/>
            <w:tcMar>
              <w:top w:w="100" w:type="dxa"/>
              <w:left w:w="100" w:type="dxa"/>
              <w:bottom w:w="100" w:type="dxa"/>
              <w:right w:w="100" w:type="dxa"/>
            </w:tcMar>
          </w:tcPr>
          <w:p w14:paraId="1FFA2C77" w14:textId="77777777" w:rsidR="00C62C41" w:rsidRPr="00D5003F" w:rsidRDefault="00C62C41">
            <w:pPr>
              <w:widowControl w:val="0"/>
              <w:pBdr>
                <w:top w:val="nil"/>
                <w:left w:val="nil"/>
                <w:bottom w:val="nil"/>
                <w:right w:val="nil"/>
                <w:between w:val="nil"/>
              </w:pBdr>
              <w:spacing w:line="240" w:lineRule="auto"/>
              <w:rPr>
                <w:rFonts w:ascii="Aptos" w:hAnsi="Aptos"/>
                <w:sz w:val="20"/>
                <w:szCs w:val="20"/>
                <w:lang w:val="en-US"/>
              </w:rPr>
            </w:pPr>
          </w:p>
          <w:p w14:paraId="5B889A82" w14:textId="77777777" w:rsidR="00C62C41" w:rsidRPr="00D5003F" w:rsidRDefault="00B35C73">
            <w:pPr>
              <w:widowControl w:val="0"/>
              <w:rPr>
                <w:rFonts w:ascii="Aptos" w:eastAsia="Times New Roman" w:hAnsi="Aptos" w:cs="Times New Roman"/>
                <w:sz w:val="20"/>
                <w:szCs w:val="20"/>
                <w:lang w:val="en-US"/>
              </w:rPr>
            </w:pPr>
            <w:r w:rsidRPr="00D5003F">
              <w:rPr>
                <w:rFonts w:ascii="Aptos" w:eastAsia="Times New Roman" w:hAnsi="Aptos" w:cs="Times New Roman"/>
                <w:sz w:val="20"/>
                <w:szCs w:val="20"/>
                <w:lang w:val="en-US"/>
              </w:rPr>
              <w:t xml:space="preserve">Cruises on the R/V </w:t>
            </w:r>
            <w:r w:rsidRPr="00D5003F">
              <w:rPr>
                <w:rFonts w:ascii="Aptos" w:eastAsia="Times New Roman" w:hAnsi="Aptos" w:cs="Times New Roman"/>
                <w:i/>
                <w:iCs/>
                <w:sz w:val="20"/>
                <w:szCs w:val="20"/>
                <w:lang w:val="en-US"/>
              </w:rPr>
              <w:t>Araon</w:t>
            </w:r>
            <w:r w:rsidRPr="00D5003F">
              <w:rPr>
                <w:rFonts w:ascii="Aptos" w:eastAsia="Times New Roman" w:hAnsi="Aptos" w:cs="Times New Roman"/>
                <w:sz w:val="20"/>
                <w:szCs w:val="20"/>
                <w:lang w:val="en-US"/>
              </w:rPr>
              <w:t xml:space="preserve"> during summer seasons (2015–2020): ARA06B, ARA07B, ARA08B, ARA09B, ARA10B, ARA10B_Ice, and ARA11B.</w:t>
            </w:r>
          </w:p>
          <w:p w14:paraId="229C5FCB" w14:textId="77777777" w:rsidR="00C62C41" w:rsidRPr="00D5003F" w:rsidRDefault="00C62C41">
            <w:pPr>
              <w:widowControl w:val="0"/>
              <w:pBdr>
                <w:top w:val="nil"/>
                <w:left w:val="nil"/>
                <w:bottom w:val="nil"/>
                <w:right w:val="nil"/>
                <w:between w:val="nil"/>
              </w:pBdr>
              <w:spacing w:line="240" w:lineRule="auto"/>
              <w:rPr>
                <w:rFonts w:ascii="Aptos" w:hAnsi="Aptos"/>
                <w:sz w:val="20"/>
                <w:szCs w:val="20"/>
                <w:lang w:val="en-US"/>
              </w:rPr>
            </w:pPr>
          </w:p>
          <w:p w14:paraId="6413BE2B" w14:textId="77777777" w:rsidR="00C62C41" w:rsidRPr="00D5003F" w:rsidRDefault="00C62C41">
            <w:pPr>
              <w:widowControl w:val="0"/>
              <w:pBdr>
                <w:top w:val="nil"/>
                <w:left w:val="nil"/>
                <w:bottom w:val="nil"/>
                <w:right w:val="nil"/>
                <w:between w:val="nil"/>
              </w:pBdr>
              <w:spacing w:line="240" w:lineRule="auto"/>
              <w:rPr>
                <w:rFonts w:ascii="Aptos" w:hAnsi="Aptos"/>
                <w:sz w:val="20"/>
                <w:szCs w:val="20"/>
                <w:lang w:val="en-US"/>
              </w:rPr>
            </w:pPr>
          </w:p>
        </w:tc>
        <w:tc>
          <w:tcPr>
            <w:tcW w:w="2161" w:type="dxa"/>
            <w:tcMar>
              <w:top w:w="100" w:type="dxa"/>
              <w:left w:w="100" w:type="dxa"/>
              <w:bottom w:w="100" w:type="dxa"/>
              <w:right w:w="100" w:type="dxa"/>
            </w:tcMar>
          </w:tcPr>
          <w:p w14:paraId="64736623" w14:textId="77777777" w:rsidR="00C62C41" w:rsidRPr="00D5003F" w:rsidRDefault="00B35C73">
            <w:pPr>
              <w:widowControl w:val="0"/>
              <w:pBdr>
                <w:top w:val="nil"/>
                <w:left w:val="nil"/>
                <w:bottom w:val="nil"/>
                <w:right w:val="nil"/>
                <w:between w:val="nil"/>
              </w:pBdr>
              <w:spacing w:line="240" w:lineRule="auto"/>
              <w:rPr>
                <w:rFonts w:ascii="Aptos" w:hAnsi="Aptos"/>
                <w:sz w:val="20"/>
                <w:szCs w:val="20"/>
                <w:lang w:val="en-US"/>
              </w:rPr>
            </w:pPr>
            <w:r w:rsidRPr="00D5003F">
              <w:rPr>
                <w:rFonts w:ascii="Aptos" w:eastAsia="Times New Roman" w:hAnsi="Aptos" w:cs="Times New Roman"/>
                <w:sz w:val="20"/>
                <w:szCs w:val="20"/>
                <w:lang w:val="en-US"/>
              </w:rPr>
              <w:t xml:space="preserve">Pigments were assessed using an Agilent 1200 series chromatographic system (Germany) equipped with a diode array detector and a fluorescence detector (Zapata et al., 2000). </w:t>
            </w:r>
            <w:proofErr w:type="spellStart"/>
            <w:r w:rsidRPr="00D5003F">
              <w:rPr>
                <w:rFonts w:ascii="Aptos" w:eastAsia="Times New Roman" w:hAnsi="Aptos" w:cs="Times New Roman"/>
                <w:sz w:val="20"/>
                <w:szCs w:val="20"/>
              </w:rPr>
              <w:t>Detailed</w:t>
            </w:r>
            <w:proofErr w:type="spellEnd"/>
            <w:r w:rsidRPr="00D5003F">
              <w:rPr>
                <w:rFonts w:ascii="Aptos" w:eastAsia="Times New Roman" w:hAnsi="Aptos" w:cs="Times New Roman"/>
                <w:sz w:val="20"/>
                <w:szCs w:val="20"/>
              </w:rPr>
              <w:t xml:space="preserve"> procedures </w:t>
            </w:r>
            <w:proofErr w:type="spellStart"/>
            <w:r w:rsidRPr="00D5003F">
              <w:rPr>
                <w:rFonts w:ascii="Aptos" w:eastAsia="Times New Roman" w:hAnsi="Aptos" w:cs="Times New Roman"/>
                <w:sz w:val="20"/>
                <w:szCs w:val="20"/>
              </w:rPr>
              <w:t>are</w:t>
            </w:r>
            <w:proofErr w:type="spellEnd"/>
            <w:r w:rsidRPr="00D5003F">
              <w:rPr>
                <w:rFonts w:ascii="Aptos" w:eastAsia="Times New Roman" w:hAnsi="Aptos" w:cs="Times New Roman"/>
                <w:sz w:val="20"/>
                <w:szCs w:val="20"/>
              </w:rPr>
              <w:t xml:space="preserve"> </w:t>
            </w:r>
            <w:proofErr w:type="spellStart"/>
            <w:r w:rsidRPr="00D5003F">
              <w:rPr>
                <w:rFonts w:ascii="Aptos" w:eastAsia="Times New Roman" w:hAnsi="Aptos" w:cs="Times New Roman"/>
                <w:sz w:val="20"/>
                <w:szCs w:val="20"/>
              </w:rPr>
              <w:t>described</w:t>
            </w:r>
            <w:proofErr w:type="spellEnd"/>
            <w:r w:rsidRPr="00D5003F">
              <w:rPr>
                <w:rFonts w:ascii="Aptos" w:eastAsia="Times New Roman" w:hAnsi="Aptos" w:cs="Times New Roman"/>
                <w:sz w:val="20"/>
                <w:szCs w:val="20"/>
              </w:rPr>
              <w:t xml:space="preserve"> in Lee et al. (2019, 2025). </w:t>
            </w:r>
            <w:r w:rsidRPr="00D5003F">
              <w:rPr>
                <w:rFonts w:ascii="Aptos" w:eastAsia="Times New Roman" w:hAnsi="Aptos" w:cs="Times New Roman"/>
                <w:sz w:val="20"/>
                <w:szCs w:val="20"/>
                <w:lang w:val="en-US"/>
              </w:rPr>
              <w:t>A 250 mm × 4.6 mm, 5 µm, C8 column (XDB-C8; Agilent, USA) was used for the pigment separation.</w:t>
            </w:r>
            <w:r w:rsidRPr="00D5003F">
              <w:rPr>
                <w:rFonts w:ascii="Aptos" w:hAnsi="Aptos"/>
                <w:sz w:val="20"/>
                <w:szCs w:val="20"/>
                <w:lang w:val="en-US"/>
              </w:rPr>
              <w:t xml:space="preserve"> </w:t>
            </w:r>
          </w:p>
        </w:tc>
        <w:tc>
          <w:tcPr>
            <w:tcW w:w="1944" w:type="dxa"/>
            <w:tcMar>
              <w:top w:w="100" w:type="dxa"/>
              <w:left w:w="100" w:type="dxa"/>
              <w:bottom w:w="100" w:type="dxa"/>
              <w:right w:w="100" w:type="dxa"/>
            </w:tcMar>
          </w:tcPr>
          <w:p w14:paraId="3A2249D9" w14:textId="77777777" w:rsidR="00C62C41" w:rsidRPr="00D5003F" w:rsidRDefault="00B35C73">
            <w:pPr>
              <w:widowControl w:val="0"/>
              <w:pBdr>
                <w:top w:val="nil"/>
                <w:left w:val="nil"/>
                <w:bottom w:val="nil"/>
                <w:right w:val="nil"/>
                <w:between w:val="nil"/>
              </w:pBdr>
              <w:spacing w:line="240" w:lineRule="auto"/>
              <w:rPr>
                <w:rFonts w:ascii="Aptos" w:hAnsi="Aptos"/>
                <w:sz w:val="20"/>
                <w:szCs w:val="20"/>
                <w:lang w:val="en-US"/>
              </w:rPr>
            </w:pPr>
            <w:r w:rsidRPr="00D5003F">
              <w:rPr>
                <w:rFonts w:ascii="Aptos" w:eastAsia="Gungsuh" w:hAnsi="Aptos" w:cs="Gungsuh"/>
                <w:sz w:val="20"/>
                <w:szCs w:val="20"/>
                <w:lang w:val="en-US"/>
              </w:rPr>
              <w:t xml:space="preserve">Water samples were collected from surface and subsurface chlorophyll maximum (SCM) layers using a 10 L PVC </w:t>
            </w:r>
            <w:proofErr w:type="spellStart"/>
            <w:r w:rsidRPr="00D5003F">
              <w:rPr>
                <w:rFonts w:ascii="Aptos" w:eastAsia="Gungsuh" w:hAnsi="Aptos" w:cs="Gungsuh"/>
                <w:sz w:val="20"/>
                <w:szCs w:val="20"/>
                <w:lang w:val="en-US"/>
              </w:rPr>
              <w:t>Niskin</w:t>
            </w:r>
            <w:proofErr w:type="spellEnd"/>
            <w:r w:rsidRPr="00D5003F">
              <w:rPr>
                <w:rFonts w:ascii="Aptos" w:eastAsia="Gungsuh" w:hAnsi="Aptos" w:cs="Gungsuh"/>
                <w:sz w:val="20"/>
                <w:szCs w:val="20"/>
                <w:lang w:val="en-US"/>
              </w:rPr>
              <w:t xml:space="preserve"> water sampler mounted on a CTD rosette system. For pigment analysis, 1–4-L seawater samples were filtered through a 47-mm GF/F filter (Whatman) and stored at −80 °C. Within 2–3 months of collection, pigments were extracted by adding 3 ml of 100% acetone, ultrasonicated for 30 seconds, and maintained at 4 °C in the dark for 15 hours. Debris was removed by filtration through a 0.45-</w:t>
            </w:r>
            <w:r w:rsidRPr="00D5003F">
              <w:rPr>
                <w:rFonts w:ascii="Aptos" w:eastAsia="Gungsuh" w:hAnsi="Aptos" w:cs="Gungsuh"/>
                <w:sz w:val="20"/>
                <w:szCs w:val="20"/>
              </w:rPr>
              <w:t>μ</w:t>
            </w:r>
            <w:r w:rsidRPr="00D5003F">
              <w:rPr>
                <w:rFonts w:ascii="Aptos" w:eastAsia="Gungsuh" w:hAnsi="Aptos" w:cs="Gungsuh"/>
                <w:sz w:val="20"/>
                <w:szCs w:val="20"/>
                <w:lang w:val="en-US"/>
              </w:rPr>
              <w:t xml:space="preserve">m Teflon syringe filter. Prior to injection, the extracts were diluted with distilled water (1 mL of extract + 0.3 mL of </w:t>
            </w:r>
            <w:r w:rsidRPr="00D5003F">
              <w:rPr>
                <w:rFonts w:ascii="Aptos" w:eastAsia="Gungsuh" w:hAnsi="Aptos" w:cs="Gungsuh"/>
                <w:sz w:val="20"/>
                <w:szCs w:val="20"/>
                <w:lang w:val="en-US"/>
              </w:rPr>
              <w:t>water) to avoid peak distortion of the initial eluting pigments.</w:t>
            </w:r>
            <w:r w:rsidRPr="00D5003F">
              <w:rPr>
                <w:rFonts w:ascii="Aptos" w:hAnsi="Aptos"/>
                <w:sz w:val="20"/>
                <w:szCs w:val="20"/>
                <w:lang w:val="en-US"/>
              </w:rPr>
              <w:t xml:space="preserve"> </w:t>
            </w:r>
          </w:p>
        </w:tc>
        <w:tc>
          <w:tcPr>
            <w:tcW w:w="1775" w:type="dxa"/>
            <w:tcMar>
              <w:top w:w="100" w:type="dxa"/>
              <w:left w:w="100" w:type="dxa"/>
              <w:bottom w:w="100" w:type="dxa"/>
              <w:right w:w="100" w:type="dxa"/>
            </w:tcMar>
          </w:tcPr>
          <w:p w14:paraId="5077CA58" w14:textId="77777777" w:rsidR="00C62C41" w:rsidRPr="00D5003F" w:rsidRDefault="00B35C73">
            <w:pPr>
              <w:widowControl w:val="0"/>
              <w:rPr>
                <w:rFonts w:ascii="Aptos" w:eastAsia="Times New Roman" w:hAnsi="Aptos" w:cs="Times New Roman"/>
                <w:sz w:val="20"/>
                <w:szCs w:val="20"/>
                <w:lang w:val="en-US"/>
              </w:rPr>
            </w:pPr>
            <w:r w:rsidRPr="00D5003F">
              <w:rPr>
                <w:rFonts w:ascii="Aptos" w:eastAsia="Times New Roman" w:hAnsi="Aptos" w:cs="Times New Roman"/>
                <w:sz w:val="20"/>
                <w:szCs w:val="20"/>
                <w:lang w:val="en-US"/>
              </w:rPr>
              <w:t>Before the analysis, the instrument (series 1200 chromatographic system; Agilent, Germany) was calibrated using the standard pigments (DHI, Denmark).</w:t>
            </w:r>
          </w:p>
          <w:p w14:paraId="1E9A7ADF" w14:textId="77777777" w:rsidR="00C62C41" w:rsidRPr="00D5003F" w:rsidRDefault="00B35C73">
            <w:pPr>
              <w:widowControl w:val="0"/>
              <w:pBdr>
                <w:top w:val="nil"/>
                <w:left w:val="nil"/>
                <w:bottom w:val="nil"/>
                <w:right w:val="nil"/>
                <w:between w:val="nil"/>
              </w:pBdr>
              <w:spacing w:line="240" w:lineRule="auto"/>
              <w:rPr>
                <w:rFonts w:ascii="Aptos" w:hAnsi="Aptos"/>
                <w:sz w:val="20"/>
                <w:szCs w:val="20"/>
              </w:rPr>
            </w:pPr>
            <w:r w:rsidRPr="00D5003F">
              <w:rPr>
                <w:rFonts w:ascii="Aptos" w:eastAsia="Times New Roman" w:hAnsi="Aptos" w:cs="Times New Roman"/>
                <w:sz w:val="20"/>
                <w:szCs w:val="20"/>
                <w:lang w:val="en-US"/>
              </w:rPr>
              <w:t xml:space="preserve">Pigments were identified by their retention times and absorbance spectra. The retention times were compared with those of pure standards and those reported in Zapata </w:t>
            </w:r>
            <w:r w:rsidRPr="00D5003F">
              <w:rPr>
                <w:rFonts w:ascii="Aptos" w:eastAsia="Times New Roman" w:hAnsi="Aptos" w:cs="Times New Roman"/>
                <w:i/>
                <w:iCs/>
                <w:sz w:val="20"/>
                <w:szCs w:val="20"/>
                <w:lang w:val="en-US"/>
              </w:rPr>
              <w:t>et al.</w:t>
            </w:r>
            <w:r w:rsidRPr="00D5003F">
              <w:rPr>
                <w:rFonts w:ascii="Aptos" w:eastAsia="Times New Roman" w:hAnsi="Aptos" w:cs="Times New Roman"/>
                <w:sz w:val="20"/>
                <w:szCs w:val="20"/>
                <w:lang w:val="en-US"/>
              </w:rPr>
              <w:t xml:space="preserve"> </w:t>
            </w:r>
            <w:r w:rsidRPr="00D5003F">
              <w:rPr>
                <w:rFonts w:ascii="Aptos" w:eastAsia="Times New Roman" w:hAnsi="Aptos" w:cs="Times New Roman"/>
                <w:sz w:val="20"/>
                <w:szCs w:val="20"/>
              </w:rPr>
              <w:t xml:space="preserve">(2000). </w:t>
            </w:r>
          </w:p>
        </w:tc>
        <w:tc>
          <w:tcPr>
            <w:tcW w:w="1775" w:type="dxa"/>
            <w:tcMar>
              <w:top w:w="100" w:type="dxa"/>
              <w:left w:w="100" w:type="dxa"/>
              <w:bottom w:w="100" w:type="dxa"/>
              <w:right w:w="100" w:type="dxa"/>
            </w:tcMar>
          </w:tcPr>
          <w:p w14:paraId="40C15C88" w14:textId="7FC05B3F" w:rsidR="000A4116" w:rsidRPr="00D5003F" w:rsidRDefault="00437653">
            <w:pPr>
              <w:widowControl w:val="0"/>
              <w:ind w:left="20"/>
              <w:rPr>
                <w:rFonts w:ascii="Aptos" w:eastAsia="Times New Roman" w:hAnsi="Aptos" w:cs="Times New Roman"/>
                <w:sz w:val="20"/>
                <w:szCs w:val="20"/>
              </w:rPr>
            </w:pPr>
            <w:r w:rsidRPr="00D5003F">
              <w:rPr>
                <w:rFonts w:ascii="Aptos" w:eastAsia="Times New Roman" w:hAnsi="Aptos" w:cs="Times New Roman"/>
                <w:sz w:val="20"/>
                <w:szCs w:val="20"/>
              </w:rPr>
              <w:fldChar w:fldCharType="begin"/>
            </w:r>
            <w:r w:rsidRPr="00D5003F">
              <w:rPr>
                <w:rFonts w:ascii="Aptos" w:eastAsia="Times New Roman" w:hAnsi="Aptos" w:cs="Times New Roman"/>
                <w:sz w:val="20"/>
                <w:szCs w:val="20"/>
              </w:rPr>
              <w:instrText xml:space="preserve"> ADDIN ZOTERO_ITEM CSL_CITATION {"citationID":"dXuQ7iEk","properties":{"formattedCitation":"(Lee et al., 2019)","plainCitation":"(Lee et al., 2019)","noteIndex":0},"citationItems":[{"id":2601,"uris":["http://zotero.org/users/13776053/items/NF6J84GW"],"itemData":{"id":2601,"type":"article-journal","abstract":"To clarify the influence of sea ice concentration on phytoplankton community distribution in the rapidly warming Arctic Ocean, we conducted field surveys in August 2012 and August 2015 in the Chukchi and East Siberian Seas. The phytoplankton community structures (derived from pigment analysis) were compared according to environmental variables between the two periods. August 2012 had the lowest average sea ice concentration since sea ice observations began in 1979, along with higher sea surface temperatures. A deeper mixed layer depth and higher surface nitrate concentrations were observed in 2012, caused by exposure of the sea surface to wind. The euphotic depth and subsurface chlorophyll maximum layer were deeper in 2015 than in 2012, and whereas the low surface phytoplankton biomass in both years indicated post-bloom periods. Similar phytoplankton biomass and different phytoplankton community structure were found between ice and melt years. Small phytoflagellates (e.g., prymnesiophytes, prasinophytes, dinoflagellates, and cryptophytes) dominated the phytoplankton biomass with different community structures in the eastern and western areas in 2012, while diatoms dominated over the whole study area in 2015. Several environmental factors affect the variation in phytoplankton community structure in the Chukchi and East Siberian Seas; however, the phytoplankton, especially diatoms, appeared to be controlled mainly by seeding from sea ice in the surface layer. Furthermore, euphotic depth and water mass structure are likely the main factors influencing the spatial distribution of phytoplankton in the subsurface layer of this area, indicating that the phytoplankton community structure might be influenced by the water mass distribution under future ice-free conditions.","container-title":"Deep Sea Research Part I: Oceanographic Research Papers","DOI":"10.1016/j.dsr.2019.04.001","ISSN":"0967-0637","journalAbbreviation":"Deep Sea Research Part I: Oceanographic Research Papers","page":"54-64","source":"ScienceDirect","title":"Influence of sea ice concentration on phytoplankton community structure in the Chukchi and East Siberian Seas, Pacific Arctic Ocean","volume":"147","author":[{"family":"Lee","given":"Youngju"},{"family":"Min","given":"Jun-Oh"},{"family":"Yang","given":"Eun Jin"},{"family":"Cho","given":"Kyoung-Ho"},{"family":"Jung","given":"Jinyoung"},{"family":"Park","given":"Jisoo"},{"family":"Moon","given":"Jung Kuk"},{"family":"Kang","given":"Sung-Ho"}],"issued":{"date-parts":[["2019",5,1]]}}}],"schema":"https://github.com/citation-style-language/schema/raw/master/csl-citation.json"} </w:instrText>
            </w:r>
            <w:r w:rsidRPr="00D5003F">
              <w:rPr>
                <w:rFonts w:ascii="Aptos" w:eastAsia="Times New Roman" w:hAnsi="Aptos" w:cs="Times New Roman"/>
                <w:sz w:val="20"/>
                <w:szCs w:val="20"/>
              </w:rPr>
              <w:fldChar w:fldCharType="separate"/>
            </w:r>
            <w:r w:rsidR="00CC06C1" w:rsidRPr="00D5003F">
              <w:rPr>
                <w:rFonts w:ascii="Aptos" w:hAnsi="Aptos"/>
                <w:sz w:val="20"/>
                <w:szCs w:val="20"/>
              </w:rPr>
              <w:t>(Lee et al., 2019)</w:t>
            </w:r>
            <w:r w:rsidRPr="00D5003F">
              <w:rPr>
                <w:rFonts w:ascii="Aptos" w:eastAsia="Times New Roman" w:hAnsi="Aptos" w:cs="Times New Roman"/>
                <w:sz w:val="20"/>
                <w:szCs w:val="20"/>
              </w:rPr>
              <w:fldChar w:fldCharType="end"/>
            </w:r>
          </w:p>
          <w:p w14:paraId="68E4921D" w14:textId="77777777" w:rsidR="00182AEB" w:rsidRPr="00D5003F" w:rsidRDefault="00182AEB">
            <w:pPr>
              <w:widowControl w:val="0"/>
              <w:ind w:left="20"/>
              <w:rPr>
                <w:rFonts w:ascii="Aptos" w:eastAsia="Times New Roman" w:hAnsi="Aptos" w:cs="Times New Roman"/>
                <w:sz w:val="20"/>
                <w:szCs w:val="20"/>
              </w:rPr>
            </w:pPr>
          </w:p>
          <w:p w14:paraId="2D6F6EC9" w14:textId="41E6FE96" w:rsidR="00873484" w:rsidRPr="00D5003F" w:rsidRDefault="00873484">
            <w:pPr>
              <w:widowControl w:val="0"/>
              <w:ind w:left="20"/>
              <w:rPr>
                <w:rFonts w:ascii="Aptos" w:eastAsia="Times New Roman" w:hAnsi="Aptos" w:cs="Times New Roman"/>
                <w:sz w:val="20"/>
                <w:szCs w:val="20"/>
                <w:lang w:val="da-DK"/>
              </w:rPr>
            </w:pPr>
            <w:r w:rsidRPr="00D5003F">
              <w:rPr>
                <w:rFonts w:ascii="Aptos" w:eastAsia="Times New Roman" w:hAnsi="Aptos" w:cs="Times New Roman"/>
                <w:sz w:val="20"/>
                <w:szCs w:val="20"/>
                <w:lang w:val="en-US"/>
              </w:rPr>
              <w:fldChar w:fldCharType="begin"/>
            </w:r>
            <w:r w:rsidRPr="00D5003F">
              <w:rPr>
                <w:rFonts w:ascii="Aptos" w:eastAsia="Times New Roman" w:hAnsi="Aptos" w:cs="Times New Roman"/>
                <w:sz w:val="20"/>
                <w:szCs w:val="20"/>
                <w:lang w:val="da-DK"/>
              </w:rPr>
              <w:instrText xml:space="preserve"> ADDIN ZOTERO_ITEM CSL_CITATION {"citationID":"oUFlTAA7","properties":{"formattedCitation":"(Lee et al., 2025)","plainCitation":"(Lee et al., 2025)","noteIndex":0},"citationItems":[{"id":2602,"uris":["http://zotero.org/users/13776053/items/EEEKPABF"],"itemData":{"id":2602,"type":"article-journal","abstract":"The Northern Chukchi and East Siberian Seas, located in the Pacific sector of the Arctic Ocean, are undergoing rapid environmental changes; however, phytoplankton community dynamics in this region remain poorly characterized. Using pigment-based taxonomic analyses from summer surveys conducted between 2015 and 2020, we identified significant interannual and spatial variability in phytoplankton composition. Diatoms generally dominated in the cold saline waters of the western region, while small flagellates were more prevalent in the stratified eastern area. In 2017–2018, surface phytoplankton biomass in the western area increased in association with elevated nutrient concentrations and enhanced diatom biomass, likely driven by an expansion of Atlantic-origin water. In contrast, diatom dominance in this area declined in both 2019 and 2020, while flagellate groups, including prymnesiophytes on the Chukchi borderlands, became more abundant. These changes coincided with anomalously warm conditions and rapid sea ice retreat in 2019, followed by continued sea ice loss in 2020, and were potentially linked to increased inflow of warm Pacific water. Correlation analyses indicated that environmental factors such as temperature, salinity, sea ice cover, and nutrient concentrations exerted taxon-specific influences on community structure. These results suggest that phytoplankton communities in the Pacific Arctic are responsive to hydrographic changes associated with both atlantification and Pacific warming, with possible implications for carbon export and regional trophic dynamics.","container-title":"Environmental Research Communications","DOI":"10.1088/2515-7620/ae009c","ISSN":"2515-7620","issue":"9","journalAbbreviation":"Environ. Res. Commun.","language":"en","note":"publisher: IOP Publishing","page":"091005","source":"Institute of Physics","title":"Climate-driven changes in phytoplankton community structure in the Northern Chukchi and East Siberian Seas, Pacific Arctic Ocean","volume":"7","author":[{"family":"Lee","given":"Youngju"},{"family":"Cho","given":"Kyoung-Ho"},{"family":"Jung","given":"Jinyoung"},{"family":"Yang","given":"Eun Jin"},{"family":"Moon","given":"Jong Kuk"},{"family":"Kang","given":"Sung-Ho"}],"issued":{"date-parts":[["2025",9]]}}}],"schema":"https://github.com/citation-style-language/schema/raw/master/csl-citation.json"} </w:instrText>
            </w:r>
            <w:r w:rsidRPr="00D5003F">
              <w:rPr>
                <w:rFonts w:ascii="Aptos" w:eastAsia="Times New Roman" w:hAnsi="Aptos" w:cs="Times New Roman"/>
                <w:sz w:val="20"/>
                <w:szCs w:val="20"/>
                <w:lang w:val="en-US"/>
              </w:rPr>
              <w:fldChar w:fldCharType="separate"/>
            </w:r>
            <w:r w:rsidR="00CC06C1" w:rsidRPr="00D5003F">
              <w:rPr>
                <w:rFonts w:ascii="Aptos" w:hAnsi="Aptos"/>
                <w:sz w:val="20"/>
                <w:szCs w:val="20"/>
                <w:lang w:val="da-DK"/>
              </w:rPr>
              <w:t>(Lee et al., 2025)</w:t>
            </w:r>
            <w:r w:rsidRPr="00D5003F">
              <w:rPr>
                <w:rFonts w:ascii="Aptos" w:eastAsia="Times New Roman" w:hAnsi="Aptos" w:cs="Times New Roman"/>
                <w:sz w:val="20"/>
                <w:szCs w:val="20"/>
                <w:lang w:val="en-US"/>
              </w:rPr>
              <w:fldChar w:fldCharType="end"/>
            </w:r>
          </w:p>
          <w:p w14:paraId="7EEDEC89" w14:textId="77777777" w:rsidR="00600AEE" w:rsidRPr="00D5003F" w:rsidRDefault="00600AEE">
            <w:pPr>
              <w:widowControl w:val="0"/>
              <w:pBdr>
                <w:top w:val="nil"/>
                <w:left w:val="nil"/>
                <w:bottom w:val="nil"/>
                <w:right w:val="nil"/>
                <w:between w:val="nil"/>
              </w:pBdr>
              <w:spacing w:line="240" w:lineRule="auto"/>
              <w:rPr>
                <w:rFonts w:ascii="Aptos" w:eastAsia="Times New Roman" w:hAnsi="Aptos" w:cs="Times New Roman"/>
                <w:sz w:val="20"/>
                <w:szCs w:val="20"/>
              </w:rPr>
            </w:pPr>
          </w:p>
          <w:p w14:paraId="39F30766" w14:textId="483FD58C" w:rsidR="00600AEE" w:rsidRPr="00D5003F" w:rsidRDefault="00600AEE">
            <w:pPr>
              <w:widowControl w:val="0"/>
              <w:pBdr>
                <w:top w:val="nil"/>
                <w:left w:val="nil"/>
                <w:bottom w:val="nil"/>
                <w:right w:val="nil"/>
                <w:between w:val="nil"/>
              </w:pBdr>
              <w:spacing w:line="240" w:lineRule="auto"/>
              <w:rPr>
                <w:rFonts w:ascii="Aptos" w:eastAsia="Times New Roman" w:hAnsi="Aptos" w:cs="Times New Roman"/>
                <w:sz w:val="20"/>
                <w:szCs w:val="20"/>
              </w:rPr>
            </w:pPr>
            <w:r w:rsidRPr="00D5003F">
              <w:rPr>
                <w:rFonts w:ascii="Aptos" w:eastAsia="Times New Roman" w:hAnsi="Aptos" w:cs="Times New Roman"/>
                <w:sz w:val="20"/>
                <w:szCs w:val="20"/>
              </w:rPr>
              <w:fldChar w:fldCharType="begin"/>
            </w:r>
            <w:r w:rsidRPr="00D5003F">
              <w:rPr>
                <w:rFonts w:ascii="Aptos" w:eastAsia="Times New Roman" w:hAnsi="Aptos" w:cs="Times New Roman"/>
                <w:sz w:val="20"/>
                <w:szCs w:val="20"/>
              </w:rPr>
              <w:instrText xml:space="preserve"> ADDIN ZOTERO_ITEM CSL_CITATION {"citationID":"6bRT5gmc","properties":{"formattedCitation":"(Zapata et al., 2000)","plainCitation":"(Zapata et al., 2000)","noteIndex":0},"citationItems":[{"id":2557,"uris":["http://zotero.org/users/13776053/items/BT3H4J3B"],"itemData":{"id":2557,"type":"article-journal","abstract":"A high-performance liquid chromatographic (HPLC) method based on a reversed-phase C8 column and pyridine-containing mobile phases was developed for the simultaneous separation of...","container-title":"Marine Ecology Progress Series","DOI":"10.3354/meps195029","ISSN":"1616-1599, 0171-8630","language":"en-US","page":"29-45","source":"www.int-res.com","title":"Separation of chlorophylls and carotenoids from marine phytoplankton: a new HPLC method using a reversed phase C8 column and pyridine-containing mobile phases","title-short":"Separation of chlorophylls and carotenoids from marine phytoplankton","volume":"195","author":[{"family":"Zapata","given":"Manuel"},{"family":"Rodríguez","given":"Francisco"},{"family":"Garrido","given":"José L."}],"issued":{"date-parts":[["2000",3,31]]}}}],"schema":"https://github.com/citation-style-language/schema/raw/master/csl-citation.json"} </w:instrText>
            </w:r>
            <w:r w:rsidRPr="00D5003F">
              <w:rPr>
                <w:rFonts w:ascii="Aptos" w:eastAsia="Times New Roman" w:hAnsi="Aptos" w:cs="Times New Roman"/>
                <w:sz w:val="20"/>
                <w:szCs w:val="20"/>
              </w:rPr>
              <w:fldChar w:fldCharType="separate"/>
            </w:r>
            <w:r w:rsidR="00CC06C1" w:rsidRPr="00D5003F">
              <w:rPr>
                <w:rFonts w:ascii="Aptos" w:hAnsi="Aptos"/>
                <w:sz w:val="20"/>
                <w:szCs w:val="20"/>
              </w:rPr>
              <w:t>(Zapata et al., 2000)</w:t>
            </w:r>
            <w:r w:rsidRPr="00D5003F">
              <w:rPr>
                <w:rFonts w:ascii="Aptos" w:eastAsia="Times New Roman" w:hAnsi="Aptos" w:cs="Times New Roman"/>
                <w:sz w:val="20"/>
                <w:szCs w:val="20"/>
              </w:rPr>
              <w:fldChar w:fldCharType="end"/>
            </w:r>
          </w:p>
        </w:tc>
      </w:tr>
      <w:tr w:rsidR="00C62C41" w:rsidRPr="00D5003F" w14:paraId="42F7C611" w14:textId="77777777">
        <w:trPr>
          <w:jc w:val="center"/>
        </w:trPr>
        <w:tc>
          <w:tcPr>
            <w:tcW w:w="1449" w:type="dxa"/>
            <w:tcMar>
              <w:top w:w="100" w:type="dxa"/>
              <w:left w:w="100" w:type="dxa"/>
              <w:bottom w:w="100" w:type="dxa"/>
              <w:right w:w="100" w:type="dxa"/>
            </w:tcMar>
          </w:tcPr>
          <w:p w14:paraId="477D2FB5" w14:textId="77777777" w:rsidR="00C62C41" w:rsidRPr="00D5003F" w:rsidRDefault="00C62C41">
            <w:pPr>
              <w:widowControl w:val="0"/>
              <w:pBdr>
                <w:top w:val="nil"/>
                <w:left w:val="nil"/>
                <w:bottom w:val="nil"/>
                <w:right w:val="nil"/>
                <w:between w:val="nil"/>
              </w:pBdr>
              <w:spacing w:line="240" w:lineRule="auto"/>
              <w:rPr>
                <w:rFonts w:ascii="Aptos" w:hAnsi="Aptos"/>
                <w:sz w:val="20"/>
                <w:szCs w:val="20"/>
              </w:rPr>
            </w:pPr>
          </w:p>
          <w:p w14:paraId="289C0866" w14:textId="77777777" w:rsidR="00C62C41" w:rsidRPr="00D5003F" w:rsidRDefault="00B35C73">
            <w:pPr>
              <w:widowControl w:val="0"/>
              <w:spacing w:line="240" w:lineRule="auto"/>
              <w:rPr>
                <w:rFonts w:ascii="Aptos" w:hAnsi="Aptos"/>
                <w:sz w:val="20"/>
                <w:szCs w:val="20"/>
              </w:rPr>
            </w:pPr>
            <w:r w:rsidRPr="00D5003F">
              <w:rPr>
                <w:rFonts w:ascii="Aptos" w:hAnsi="Aptos"/>
                <w:sz w:val="20"/>
                <w:szCs w:val="20"/>
              </w:rPr>
              <w:t>Thielecke_PS138_Arc</w:t>
            </w:r>
          </w:p>
          <w:p w14:paraId="04FAFC23" w14:textId="77777777" w:rsidR="00C62C41" w:rsidRPr="00D5003F" w:rsidRDefault="00B35C73">
            <w:pPr>
              <w:widowControl w:val="0"/>
              <w:pBdr>
                <w:top w:val="nil"/>
                <w:left w:val="nil"/>
                <w:bottom w:val="nil"/>
                <w:right w:val="nil"/>
                <w:between w:val="nil"/>
              </w:pBdr>
              <w:spacing w:line="240" w:lineRule="auto"/>
              <w:rPr>
                <w:rFonts w:ascii="Aptos" w:hAnsi="Aptos"/>
                <w:sz w:val="20"/>
                <w:szCs w:val="20"/>
              </w:rPr>
            </w:pPr>
            <w:r w:rsidRPr="00D5003F">
              <w:rPr>
                <w:rFonts w:ascii="Aptos" w:hAnsi="Aptos"/>
                <w:sz w:val="20"/>
                <w:szCs w:val="20"/>
              </w:rPr>
              <w:t xml:space="preserve">Watch </w:t>
            </w:r>
          </w:p>
          <w:p w14:paraId="2BA77E58" w14:textId="77777777" w:rsidR="00C62C41" w:rsidRPr="00D5003F" w:rsidRDefault="00C62C41">
            <w:pPr>
              <w:widowControl w:val="0"/>
              <w:pBdr>
                <w:top w:val="nil"/>
                <w:left w:val="nil"/>
                <w:bottom w:val="nil"/>
                <w:right w:val="nil"/>
                <w:between w:val="nil"/>
              </w:pBdr>
              <w:spacing w:line="240" w:lineRule="auto"/>
              <w:rPr>
                <w:rFonts w:ascii="Aptos" w:hAnsi="Aptos"/>
                <w:sz w:val="20"/>
                <w:szCs w:val="20"/>
              </w:rPr>
            </w:pPr>
          </w:p>
        </w:tc>
        <w:tc>
          <w:tcPr>
            <w:tcW w:w="2161" w:type="dxa"/>
            <w:tcMar>
              <w:top w:w="100" w:type="dxa"/>
              <w:left w:w="100" w:type="dxa"/>
              <w:bottom w:w="100" w:type="dxa"/>
              <w:right w:w="100" w:type="dxa"/>
            </w:tcMar>
          </w:tcPr>
          <w:p w14:paraId="53A6AF37" w14:textId="77777777" w:rsidR="00C62C41" w:rsidRPr="00D5003F" w:rsidRDefault="00B35C73">
            <w:pPr>
              <w:widowControl w:val="0"/>
              <w:spacing w:before="260" w:after="260" w:line="240" w:lineRule="auto"/>
              <w:rPr>
                <w:rFonts w:ascii="Aptos" w:hAnsi="Aptos"/>
                <w:sz w:val="20"/>
                <w:szCs w:val="20"/>
              </w:rPr>
            </w:pPr>
            <w:r w:rsidRPr="00D5003F">
              <w:rPr>
                <w:rFonts w:ascii="Aptos" w:hAnsi="Aptos"/>
                <w:sz w:val="20"/>
                <w:szCs w:val="20"/>
                <w:lang w:val="en-US"/>
              </w:rPr>
              <w:t xml:space="preserve">Pigments were quantified with a Waters Alliance 2695 HPLC Separation Module connected to a Waters photodiode </w:t>
            </w:r>
            <w:r w:rsidRPr="00D5003F">
              <w:rPr>
                <w:rFonts w:ascii="Aptos" w:hAnsi="Aptos"/>
                <w:sz w:val="20"/>
                <w:szCs w:val="20"/>
                <w:lang w:val="en-US"/>
              </w:rPr>
              <w:lastRenderedPageBreak/>
              <w:t>array detector (2996 Waters Corporation, Milford, USA) using a Microsorb</w:t>
            </w:r>
            <w:r w:rsidRPr="00D5003F">
              <w:rPr>
                <w:rFonts w:ascii="Cambria Math" w:hAnsi="Cambria Math" w:cs="Cambria Math"/>
                <w:sz w:val="20"/>
                <w:szCs w:val="20"/>
                <w:lang w:val="en-US"/>
              </w:rPr>
              <w:t>‐</w:t>
            </w:r>
            <w:r w:rsidRPr="00D5003F">
              <w:rPr>
                <w:rFonts w:ascii="Aptos" w:hAnsi="Aptos"/>
                <w:sz w:val="20"/>
                <w:szCs w:val="20"/>
                <w:lang w:val="en-US"/>
              </w:rPr>
              <w:t xml:space="preserve">MV3 C8 column (4.6 </w:t>
            </w:r>
            <w:r w:rsidRPr="00D5003F">
              <w:rPr>
                <w:rFonts w:ascii="Aptos" w:hAnsi="Aptos" w:cs="Aptos"/>
                <w:sz w:val="20"/>
                <w:szCs w:val="20"/>
                <w:lang w:val="en-US"/>
              </w:rPr>
              <w:t>×</w:t>
            </w:r>
            <w:r w:rsidRPr="00D5003F">
              <w:rPr>
                <w:rFonts w:ascii="Aptos" w:hAnsi="Aptos"/>
                <w:sz w:val="20"/>
                <w:szCs w:val="20"/>
                <w:lang w:val="en-US"/>
              </w:rPr>
              <w:t xml:space="preserve"> 100 mm), and an HPLC</w:t>
            </w:r>
            <w:r w:rsidRPr="00D5003F">
              <w:rPr>
                <w:rFonts w:ascii="Cambria Math" w:hAnsi="Cambria Math" w:cs="Cambria Math"/>
                <w:sz w:val="20"/>
                <w:szCs w:val="20"/>
                <w:lang w:val="en-US"/>
              </w:rPr>
              <w:t>‐</w:t>
            </w:r>
            <w:r w:rsidRPr="00D5003F">
              <w:rPr>
                <w:rFonts w:ascii="Aptos" w:hAnsi="Aptos"/>
                <w:sz w:val="20"/>
                <w:szCs w:val="20"/>
                <w:lang w:val="en-US"/>
              </w:rPr>
              <w:t xml:space="preserve">grade solvent using a modified method of Barlow et al. </w:t>
            </w:r>
            <w:r w:rsidRPr="00D5003F">
              <w:rPr>
                <w:rFonts w:ascii="Aptos" w:hAnsi="Aptos"/>
                <w:sz w:val="20"/>
                <w:szCs w:val="20"/>
              </w:rPr>
              <w:t xml:space="preserve">(1997). </w:t>
            </w:r>
            <w:proofErr w:type="spellStart"/>
            <w:r w:rsidRPr="00D5003F">
              <w:rPr>
                <w:rFonts w:ascii="Aptos" w:hAnsi="Aptos"/>
                <w:sz w:val="20"/>
                <w:szCs w:val="20"/>
              </w:rPr>
              <w:t>Details</w:t>
            </w:r>
            <w:proofErr w:type="spellEnd"/>
            <w:r w:rsidRPr="00D5003F">
              <w:rPr>
                <w:rFonts w:ascii="Aptos" w:hAnsi="Aptos"/>
                <w:sz w:val="20"/>
                <w:szCs w:val="20"/>
              </w:rPr>
              <w:t xml:space="preserve"> </w:t>
            </w:r>
            <w:proofErr w:type="spellStart"/>
            <w:r w:rsidRPr="00D5003F">
              <w:rPr>
                <w:rFonts w:ascii="Aptos" w:hAnsi="Aptos"/>
                <w:sz w:val="20"/>
                <w:szCs w:val="20"/>
              </w:rPr>
              <w:t>are</w:t>
            </w:r>
            <w:proofErr w:type="spellEnd"/>
            <w:r w:rsidRPr="00D5003F">
              <w:rPr>
                <w:rFonts w:ascii="Aptos" w:hAnsi="Aptos"/>
                <w:sz w:val="20"/>
                <w:szCs w:val="20"/>
              </w:rPr>
              <w:t xml:space="preserve"> </w:t>
            </w:r>
            <w:proofErr w:type="spellStart"/>
            <w:r w:rsidRPr="00D5003F">
              <w:rPr>
                <w:rFonts w:ascii="Aptos" w:hAnsi="Aptos"/>
                <w:sz w:val="20"/>
                <w:szCs w:val="20"/>
              </w:rPr>
              <w:t>described</w:t>
            </w:r>
            <w:proofErr w:type="spellEnd"/>
            <w:r w:rsidRPr="00D5003F">
              <w:rPr>
                <w:rFonts w:ascii="Aptos" w:hAnsi="Aptos"/>
                <w:sz w:val="20"/>
                <w:szCs w:val="20"/>
              </w:rPr>
              <w:t xml:space="preserve"> in Möller et al., 2024.</w:t>
            </w:r>
          </w:p>
          <w:p w14:paraId="3C9CA221" w14:textId="77777777" w:rsidR="00C62C41" w:rsidRPr="00D5003F" w:rsidRDefault="00C62C41">
            <w:pPr>
              <w:widowControl w:val="0"/>
              <w:pBdr>
                <w:top w:val="nil"/>
                <w:left w:val="nil"/>
                <w:bottom w:val="nil"/>
                <w:right w:val="nil"/>
                <w:between w:val="nil"/>
              </w:pBdr>
              <w:spacing w:line="240" w:lineRule="auto"/>
              <w:rPr>
                <w:rFonts w:ascii="Aptos" w:hAnsi="Aptos"/>
                <w:sz w:val="20"/>
                <w:szCs w:val="20"/>
              </w:rPr>
            </w:pPr>
          </w:p>
        </w:tc>
        <w:tc>
          <w:tcPr>
            <w:tcW w:w="1944" w:type="dxa"/>
            <w:tcMar>
              <w:top w:w="100" w:type="dxa"/>
              <w:left w:w="100" w:type="dxa"/>
              <w:bottom w:w="100" w:type="dxa"/>
              <w:right w:w="100" w:type="dxa"/>
            </w:tcMar>
          </w:tcPr>
          <w:p w14:paraId="60049AF6" w14:textId="77777777" w:rsidR="00C62C41" w:rsidRPr="00D5003F" w:rsidRDefault="00B35C73">
            <w:pPr>
              <w:widowControl w:val="0"/>
              <w:spacing w:before="260" w:after="260" w:line="240" w:lineRule="auto"/>
              <w:rPr>
                <w:rFonts w:ascii="Aptos" w:hAnsi="Aptos"/>
                <w:sz w:val="20"/>
                <w:szCs w:val="20"/>
                <w:lang w:val="en-US"/>
              </w:rPr>
            </w:pPr>
            <w:r w:rsidRPr="00D5003F">
              <w:rPr>
                <w:rFonts w:ascii="Aptos" w:hAnsi="Aptos"/>
                <w:sz w:val="20"/>
                <w:szCs w:val="20"/>
                <w:lang w:val="en-US"/>
              </w:rPr>
              <w:lastRenderedPageBreak/>
              <w:t xml:space="preserve">For analytical preparation, an internal standard (50 </w:t>
            </w:r>
            <w:r w:rsidRPr="00D5003F">
              <w:rPr>
                <w:rFonts w:ascii="Aptos" w:hAnsi="Aptos"/>
                <w:sz w:val="20"/>
                <w:szCs w:val="20"/>
              </w:rPr>
              <w:t>μ</w:t>
            </w:r>
            <w:r w:rsidRPr="00D5003F">
              <w:rPr>
                <w:rFonts w:ascii="Aptos" w:hAnsi="Aptos"/>
                <w:sz w:val="20"/>
                <w:szCs w:val="20"/>
                <w:lang w:val="en-US"/>
              </w:rPr>
              <w:t xml:space="preserve">L, canthaxanthin), 100% acetone </w:t>
            </w:r>
            <w:r w:rsidRPr="00D5003F">
              <w:rPr>
                <w:rFonts w:ascii="Aptos" w:hAnsi="Aptos"/>
                <w:sz w:val="20"/>
                <w:szCs w:val="20"/>
                <w:lang w:val="en-US"/>
              </w:rPr>
              <w:lastRenderedPageBreak/>
              <w:t>HPLC grade (1.5 mL) and glass beads were added to each filter sample (on ice</w:t>
            </w:r>
            <w:proofErr w:type="gramStart"/>
            <w:r w:rsidRPr="00D5003F">
              <w:rPr>
                <w:rFonts w:ascii="Aptos" w:hAnsi="Aptos"/>
                <w:sz w:val="20"/>
                <w:szCs w:val="20"/>
                <w:lang w:val="en-US"/>
              </w:rPr>
              <w:t>)</w:t>
            </w:r>
            <w:proofErr w:type="gramEnd"/>
            <w:r w:rsidRPr="00D5003F">
              <w:rPr>
                <w:rFonts w:ascii="Aptos" w:hAnsi="Aptos"/>
                <w:sz w:val="20"/>
                <w:szCs w:val="20"/>
                <w:lang w:val="en-US"/>
              </w:rPr>
              <w:t xml:space="preserve"> and </w:t>
            </w:r>
            <w:proofErr w:type="gramStart"/>
            <w:r w:rsidRPr="00D5003F">
              <w:rPr>
                <w:rFonts w:ascii="Aptos" w:hAnsi="Aptos"/>
                <w:sz w:val="20"/>
                <w:szCs w:val="20"/>
                <w:lang w:val="en-US"/>
              </w:rPr>
              <w:t>the  samples</w:t>
            </w:r>
            <w:proofErr w:type="gramEnd"/>
            <w:r w:rsidRPr="00D5003F">
              <w:rPr>
                <w:rFonts w:ascii="Aptos" w:hAnsi="Aptos"/>
                <w:sz w:val="20"/>
                <w:szCs w:val="20"/>
                <w:lang w:val="en-US"/>
              </w:rPr>
              <w:t xml:space="preserve"> were homogenized with small glass beads in a </w:t>
            </w:r>
            <w:proofErr w:type="spellStart"/>
            <w:r w:rsidRPr="00D5003F">
              <w:rPr>
                <w:rFonts w:ascii="Aptos" w:hAnsi="Aptos"/>
                <w:sz w:val="20"/>
                <w:szCs w:val="20"/>
                <w:lang w:val="en-US"/>
              </w:rPr>
              <w:t>Precellys</w:t>
            </w:r>
            <w:proofErr w:type="spellEnd"/>
            <w:r w:rsidRPr="00D5003F">
              <w:rPr>
                <w:rFonts w:ascii="Aptos" w:hAnsi="Aptos"/>
                <w:sz w:val="20"/>
                <w:szCs w:val="20"/>
                <w:lang w:val="en-US"/>
              </w:rPr>
              <w:t xml:space="preserve">® tissue homogenizer and </w:t>
            </w:r>
            <w:proofErr w:type="gramStart"/>
            <w:r w:rsidRPr="00D5003F">
              <w:rPr>
                <w:rFonts w:ascii="Aptos" w:hAnsi="Aptos"/>
                <w:sz w:val="20"/>
                <w:szCs w:val="20"/>
                <w:lang w:val="en-US"/>
              </w:rPr>
              <w:t>thereafter  centrifuged</w:t>
            </w:r>
            <w:proofErr w:type="gramEnd"/>
            <w:r w:rsidRPr="00D5003F">
              <w:rPr>
                <w:rFonts w:ascii="Aptos" w:hAnsi="Aptos"/>
                <w:sz w:val="20"/>
                <w:szCs w:val="20"/>
                <w:lang w:val="en-US"/>
              </w:rPr>
              <w:t xml:space="preserve"> (0°C). The supernatant liquid is filtered through a 0.2 </w:t>
            </w:r>
            <w:r w:rsidRPr="00D5003F">
              <w:rPr>
                <w:rFonts w:ascii="Aptos" w:hAnsi="Aptos"/>
                <w:sz w:val="20"/>
                <w:szCs w:val="20"/>
              </w:rPr>
              <w:t>μ</w:t>
            </w:r>
            <w:r w:rsidRPr="00D5003F">
              <w:rPr>
                <w:rFonts w:ascii="Aptos" w:hAnsi="Aptos"/>
                <w:sz w:val="20"/>
                <w:szCs w:val="20"/>
                <w:lang w:val="en-US"/>
              </w:rPr>
              <w:t>m PTFE filter (</w:t>
            </w:r>
            <w:proofErr w:type="spellStart"/>
            <w:r w:rsidRPr="00D5003F">
              <w:rPr>
                <w:rFonts w:ascii="Aptos" w:hAnsi="Aptos"/>
                <w:sz w:val="20"/>
                <w:szCs w:val="20"/>
                <w:lang w:val="en-US"/>
              </w:rPr>
              <w:t>Rotilabo</w:t>
            </w:r>
            <w:proofErr w:type="spellEnd"/>
            <w:r w:rsidRPr="00D5003F">
              <w:rPr>
                <w:rFonts w:ascii="Aptos" w:hAnsi="Aptos"/>
                <w:sz w:val="20"/>
                <w:szCs w:val="20"/>
                <w:lang w:val="en-US"/>
              </w:rPr>
              <w:t xml:space="preserve">) and stored at -80°C prior to analysis. An aliquot of 120 </w:t>
            </w:r>
            <w:r w:rsidRPr="00D5003F">
              <w:rPr>
                <w:rFonts w:ascii="Aptos" w:hAnsi="Aptos"/>
                <w:sz w:val="20"/>
                <w:szCs w:val="20"/>
              </w:rPr>
              <w:t>μ</w:t>
            </w:r>
            <w:r w:rsidRPr="00D5003F">
              <w:rPr>
                <w:rFonts w:ascii="Aptos" w:hAnsi="Aptos"/>
                <w:sz w:val="20"/>
                <w:szCs w:val="20"/>
                <w:lang w:val="en-US"/>
              </w:rPr>
              <w:t>L is transferred to the auto sampler (4°C), the auto sampler uses a step function to draw the liquid from the sample and 1 M ammonium acetate</w:t>
            </w:r>
            <w:r w:rsidRPr="00D5003F">
              <w:rPr>
                <w:rFonts w:ascii="Aptos" w:hAnsi="Aptos"/>
                <w:sz w:val="20"/>
                <w:szCs w:val="20"/>
                <w:lang w:val="en-US"/>
              </w:rPr>
              <w:t xml:space="preserve"> solution (4 times 25µl each), just prior to analysis, which is sufficient to serve as a mixing between the two solvents.</w:t>
            </w:r>
          </w:p>
          <w:p w14:paraId="2BB9BA71" w14:textId="77777777" w:rsidR="00C62C41" w:rsidRPr="00D5003F" w:rsidRDefault="00C62C41">
            <w:pPr>
              <w:widowControl w:val="0"/>
              <w:pBdr>
                <w:top w:val="nil"/>
                <w:left w:val="nil"/>
                <w:bottom w:val="nil"/>
                <w:right w:val="nil"/>
                <w:between w:val="nil"/>
              </w:pBdr>
              <w:spacing w:line="240" w:lineRule="auto"/>
              <w:rPr>
                <w:rFonts w:ascii="Aptos" w:hAnsi="Aptos"/>
                <w:sz w:val="20"/>
                <w:szCs w:val="20"/>
                <w:lang w:val="en-US"/>
              </w:rPr>
            </w:pPr>
          </w:p>
        </w:tc>
        <w:tc>
          <w:tcPr>
            <w:tcW w:w="1775" w:type="dxa"/>
            <w:tcMar>
              <w:top w:w="100" w:type="dxa"/>
              <w:left w:w="100" w:type="dxa"/>
              <w:bottom w:w="100" w:type="dxa"/>
              <w:right w:w="100" w:type="dxa"/>
            </w:tcMar>
          </w:tcPr>
          <w:p w14:paraId="0F324A2F" w14:textId="77777777" w:rsidR="00C62C41" w:rsidRPr="00D5003F" w:rsidRDefault="00B35C73">
            <w:pPr>
              <w:widowControl w:val="0"/>
              <w:spacing w:before="260" w:after="260" w:line="240" w:lineRule="auto"/>
              <w:rPr>
                <w:rFonts w:ascii="Aptos" w:hAnsi="Aptos"/>
                <w:sz w:val="20"/>
                <w:szCs w:val="20"/>
                <w:lang w:val="en-US"/>
              </w:rPr>
            </w:pPr>
            <w:r w:rsidRPr="00D5003F">
              <w:rPr>
                <w:rFonts w:ascii="Aptos" w:hAnsi="Aptos"/>
                <w:sz w:val="20"/>
                <w:szCs w:val="20"/>
                <w:lang w:val="en-US"/>
              </w:rPr>
              <w:lastRenderedPageBreak/>
              <w:t xml:space="preserve">Eluting pigments were detected by absorbance (440 nm). Pigments were identified and quantified by </w:t>
            </w:r>
            <w:r w:rsidRPr="00D5003F">
              <w:rPr>
                <w:rFonts w:ascii="Aptos" w:hAnsi="Aptos"/>
                <w:sz w:val="20"/>
                <w:szCs w:val="20"/>
                <w:lang w:val="en-US"/>
              </w:rPr>
              <w:lastRenderedPageBreak/>
              <w:t>comparing their retention times and peak areas with those of pure standards in the library (DHI). Pigment standards were spectrophotometrically calibrated using extinction coefficients according to (Bidigare 2013)</w:t>
            </w:r>
          </w:p>
          <w:p w14:paraId="1754AB58" w14:textId="77777777" w:rsidR="00C62C41" w:rsidRPr="00D5003F" w:rsidRDefault="00C62C41">
            <w:pPr>
              <w:widowControl w:val="0"/>
              <w:pBdr>
                <w:top w:val="nil"/>
                <w:left w:val="nil"/>
                <w:bottom w:val="nil"/>
                <w:right w:val="nil"/>
                <w:between w:val="nil"/>
              </w:pBdr>
              <w:spacing w:line="240" w:lineRule="auto"/>
              <w:rPr>
                <w:rFonts w:ascii="Aptos" w:hAnsi="Aptos"/>
                <w:sz w:val="20"/>
                <w:szCs w:val="20"/>
                <w:lang w:val="en-US"/>
              </w:rPr>
            </w:pPr>
          </w:p>
        </w:tc>
        <w:tc>
          <w:tcPr>
            <w:tcW w:w="1775" w:type="dxa"/>
            <w:tcMar>
              <w:top w:w="100" w:type="dxa"/>
              <w:left w:w="100" w:type="dxa"/>
              <w:bottom w:w="100" w:type="dxa"/>
              <w:right w:w="100" w:type="dxa"/>
            </w:tcMar>
          </w:tcPr>
          <w:p w14:paraId="263E0046" w14:textId="18B92B79" w:rsidR="00C62C41" w:rsidRPr="00D5003F" w:rsidRDefault="00C62C41">
            <w:pPr>
              <w:widowControl w:val="0"/>
              <w:spacing w:before="260" w:after="260" w:line="240" w:lineRule="auto"/>
              <w:rPr>
                <w:rFonts w:ascii="Aptos" w:hAnsi="Aptos"/>
                <w:sz w:val="20"/>
                <w:szCs w:val="20"/>
                <w:lang w:val="en-US"/>
              </w:rPr>
            </w:pPr>
          </w:p>
          <w:p w14:paraId="625E20B4" w14:textId="6FAC035A" w:rsidR="00BF3171" w:rsidRPr="00D5003F" w:rsidRDefault="00BF3171">
            <w:pPr>
              <w:widowControl w:val="0"/>
              <w:spacing w:before="260" w:after="260" w:line="240" w:lineRule="auto"/>
              <w:rPr>
                <w:rFonts w:ascii="Aptos" w:hAnsi="Aptos"/>
                <w:sz w:val="20"/>
                <w:szCs w:val="20"/>
                <w:lang w:val="da-DK"/>
              </w:rPr>
            </w:pPr>
            <w:r w:rsidRPr="00D5003F">
              <w:rPr>
                <w:rFonts w:ascii="Aptos" w:hAnsi="Aptos"/>
                <w:sz w:val="20"/>
                <w:szCs w:val="20"/>
                <w:lang w:val="en-US"/>
              </w:rPr>
              <w:fldChar w:fldCharType="begin"/>
            </w:r>
            <w:r w:rsidRPr="00D5003F">
              <w:rPr>
                <w:rFonts w:ascii="Aptos" w:hAnsi="Aptos"/>
                <w:sz w:val="20"/>
                <w:szCs w:val="20"/>
                <w:lang w:val="da-DK"/>
              </w:rPr>
              <w:instrText xml:space="preserve"> ADDIN ZOTERO_ITEM CSL_CITATION {"citationID":"x4L3dE1Y","properties":{"formattedCitation":"(Barlow et al., 1997)","plainCitation":"(Barlow et al., 1997)","noteIndex":0},"citationItems":[{"id":2593,"uris":["http://zotero.org/users/13776053/items/NMBEKHBJ"],"itemData":{"id":2593,"type":"article-journal","abstract":"A reverse phase HPLC (high performance liquid chromatography) technique using a binary solvent system with a linear gradient on a Hypersil® MOS2 C-8 column is described. As well as the...","container-title":"Marine Ecology Progress Series","DOI":"10.3354/meps161303","ISSN":"1616-1599, 0171-8630","language":"en-US","page":"303-307","source":"www.int-res.com","title":"Improved resolution of mono- and divinyl chlorophylls a and b and zeaxanthin and lutein in phytoplankton extracts using reverse phase C-8 HPLC","volume":"161","author":[{"family":"Barlow","given":"R. G."},{"family":"Cummings","given":"D. G."},{"family":"Gibb","given":"S. W."}],"issued":{"date-parts":[["1997",12,31]]}}}],"schema":"https://github.com/citation-style-language/schema/raw/master/csl-citation.json"} </w:instrText>
            </w:r>
            <w:r w:rsidRPr="00D5003F">
              <w:rPr>
                <w:rFonts w:ascii="Aptos" w:hAnsi="Aptos"/>
                <w:sz w:val="20"/>
                <w:szCs w:val="20"/>
                <w:lang w:val="en-US"/>
              </w:rPr>
              <w:fldChar w:fldCharType="separate"/>
            </w:r>
            <w:r w:rsidR="00CC06C1" w:rsidRPr="00D5003F">
              <w:rPr>
                <w:rFonts w:ascii="Aptos" w:hAnsi="Aptos"/>
                <w:sz w:val="20"/>
                <w:szCs w:val="20"/>
                <w:lang w:val="da-DK"/>
              </w:rPr>
              <w:t>(Barlow et al., 1997)</w:t>
            </w:r>
            <w:r w:rsidRPr="00D5003F">
              <w:rPr>
                <w:rFonts w:ascii="Aptos" w:hAnsi="Aptos"/>
                <w:sz w:val="20"/>
                <w:szCs w:val="20"/>
                <w:lang w:val="en-US"/>
              </w:rPr>
              <w:fldChar w:fldCharType="end"/>
            </w:r>
          </w:p>
          <w:p w14:paraId="7F72A1CA" w14:textId="3B24406F" w:rsidR="00CC16A6" w:rsidRPr="00D5003F" w:rsidRDefault="00CC16A6">
            <w:pPr>
              <w:widowControl w:val="0"/>
              <w:spacing w:before="260" w:after="260" w:line="240" w:lineRule="auto"/>
              <w:rPr>
                <w:rFonts w:ascii="Aptos" w:hAnsi="Aptos"/>
                <w:sz w:val="20"/>
                <w:szCs w:val="20"/>
                <w:lang w:val="da-DK"/>
              </w:rPr>
            </w:pPr>
            <w:r w:rsidRPr="00D5003F">
              <w:rPr>
                <w:rFonts w:ascii="Aptos" w:hAnsi="Aptos"/>
                <w:sz w:val="20"/>
                <w:szCs w:val="20"/>
                <w:lang w:val="en-US"/>
              </w:rPr>
              <w:lastRenderedPageBreak/>
              <w:fldChar w:fldCharType="begin"/>
            </w:r>
            <w:r w:rsidR="00D41E20">
              <w:rPr>
                <w:rFonts w:ascii="Aptos" w:hAnsi="Aptos"/>
                <w:sz w:val="20"/>
                <w:szCs w:val="20"/>
                <w:lang w:val="da-DK"/>
              </w:rPr>
              <w:instrText xml:space="preserve"> ADDIN ZOTERO_ITEM CSL_CITATION {"citationID":"CNrT2ikt","properties":{"formattedCitation":"(Bidigare, 1991)","plainCitation":"(Bidigare, 1991)","noteIndex":0},"citationItems":[{"id":"wqBmd9Wu/swMWHzQu","uris":["http://zotero.org/users/13776053/items/XUCRP2KN"],"itemData":{"id":2603,"type":"chapter","abstract":"This chapter contains sections titled: Sample Collection Filtration Sample Storage Extraction HPLC Pigment Separations Peak Detection and Identification Quantification Quality Assurance Procedures","container-title":"Marine Particles: Analysis and Characterization","ISBN":"978-1-118-66377-6","language":"en","license":"Copyright 1991 by the American Geophysical Union.","note":"_eprint: https://agupubs.onlinelibrary.wiley.com/doi/pdf/10.1029/GM063p0119\nDOI: 10.1029/GM063p0119","page":"119-123","publisher":"American Geophysical Union (AGU)","source":"Wiley Online Library","title":"Analysis of Algal Chlorophylls and Carotenoids","URL":"https://onlinelibrary.wiley.com/doi/abs/10.1029/GM063p0119","author":[{"family":"Bidigare","given":"Robert R."}],"accessed":{"date-parts":[["2026",5,21]]},"issued":{"date-parts":[["1991"]]}}}],"schema":"https://github.com/citation-style-language/schema/raw/master/csl-citation.json"} </w:instrText>
            </w:r>
            <w:r w:rsidRPr="00D5003F">
              <w:rPr>
                <w:rFonts w:ascii="Aptos" w:hAnsi="Aptos"/>
                <w:sz w:val="20"/>
                <w:szCs w:val="20"/>
                <w:lang w:val="en-US"/>
              </w:rPr>
              <w:fldChar w:fldCharType="separate"/>
            </w:r>
            <w:r w:rsidR="00CC06C1" w:rsidRPr="00D5003F">
              <w:rPr>
                <w:rFonts w:ascii="Aptos" w:hAnsi="Aptos"/>
                <w:sz w:val="20"/>
                <w:szCs w:val="20"/>
                <w:lang w:val="da-DK"/>
              </w:rPr>
              <w:t>(Bidigare, 1991)</w:t>
            </w:r>
            <w:r w:rsidRPr="00D5003F">
              <w:rPr>
                <w:rFonts w:ascii="Aptos" w:hAnsi="Aptos"/>
                <w:sz w:val="20"/>
                <w:szCs w:val="20"/>
                <w:lang w:val="en-US"/>
              </w:rPr>
              <w:fldChar w:fldCharType="end"/>
            </w:r>
          </w:p>
          <w:p w14:paraId="72CA6C98" w14:textId="7E8C1EBA" w:rsidR="00B432A2" w:rsidRPr="00D5003F" w:rsidRDefault="00B432A2">
            <w:pPr>
              <w:widowControl w:val="0"/>
              <w:spacing w:line="324" w:lineRule="auto"/>
              <w:rPr>
                <w:rFonts w:ascii="Aptos" w:hAnsi="Aptos"/>
                <w:sz w:val="20"/>
                <w:szCs w:val="20"/>
                <w:lang w:val="da-DK"/>
              </w:rPr>
            </w:pPr>
            <w:r w:rsidRPr="00D5003F">
              <w:rPr>
                <w:rFonts w:ascii="Aptos" w:hAnsi="Aptos"/>
                <w:sz w:val="20"/>
                <w:szCs w:val="20"/>
                <w:lang w:val="en-US"/>
              </w:rPr>
              <w:fldChar w:fldCharType="begin"/>
            </w:r>
            <w:r w:rsidRPr="00D5003F">
              <w:rPr>
                <w:rFonts w:ascii="Aptos" w:hAnsi="Aptos"/>
                <w:sz w:val="20"/>
                <w:szCs w:val="20"/>
                <w:lang w:val="da-DK"/>
              </w:rPr>
              <w:instrText xml:space="preserve"> ADDIN ZOTERO_ITEM CSL_CITATION {"citationID":"Y4ri0DjQ","properties":{"formattedCitation":"(M\\uc0\\u246{}ller et al., 2024)","plainCitation":"(Möller et al., 2024)","noteIndex":0},"citationItems":[{"id":2604,"uris":["http://zotero.org/users/13776053/items/CP7CZKIV"],"itemData":{"id":2604,"type":"article-journal","abstract":"The toxin-producing dinoflagellate Alexandrium pseudogonyaulax has become increasingly abundant in northern European waters, replacing other Alexandrium species. A. pseudogonyaulax produces goniodomins and lytic substances, which can be cytotoxic toward other organisms, including fish, but we still know little about the environmental conditions influencing its growth and toxicity. Here, we investigated the impacts of different nitrogen sources and light intensities, common bottom-up drivers of bloom formation, on the growth and toxin content of three A. pseudogonyaulax strains isolated from the Danish Limfjord. While the growth rates were significantly influenced by nitrogen source and light intensity, the intracellular toxin contents only showed strong differences between the exponential and stationary growth phases. Moreover, the photophysiological response of A. pseudogonyaulax showed little variation across varying light intensities, while light-harvesting pigments were significantly more abundant under low light conditions. This study additionally highlights considerable physiological variability between strains, emphasizing the importance of conducting laboratory experiments with several algal strains. A high physiological plasticity toward changing abiotic parameters points to a long-term establishment of A. pseudogonyaulax in northern European waters.","container-title":"Limnology and Oceanography","DOI":"10.1002/lno.12576","ISSN":"1939-5590","issue":"6","language":"en","license":"© 2024 The Authors. Limnology and Oceanography published by Wiley Periodicals LLC on behalf of Association for the Sciences of Limnology and Oceanography.","note":"_eprint: https://aslopubs.onlinelibrary.wiley.com/doi/pdf/10.1002/lno.12576","page":"1335-1349","source":"Wiley Online Library","title":"Effects of bottom-up factors on growth and toxin content of a harmful algae bloom dinoflagellate","volume":"69","author":[{"family":"Möller","given":"Kristof"},{"family":"Thoms","given":"Silke"},{"family":"Tillmann","given":"Urban"},{"family":"Krock","given":"Bernd"},{"family":"Koch","given":"Florian"},{"family":"Peeken","given":"Ilka"},{"family":"Meunier","given":"Cédric L."}],"issued":{"date-parts":[["2024"]]}}}],"schema":"https://github.com/citation-style-language/schema/raw/master/csl-citation.json"} </w:instrText>
            </w:r>
            <w:r w:rsidRPr="00D5003F">
              <w:rPr>
                <w:rFonts w:ascii="Aptos" w:hAnsi="Aptos"/>
                <w:sz w:val="20"/>
                <w:szCs w:val="20"/>
                <w:lang w:val="en-US"/>
              </w:rPr>
              <w:fldChar w:fldCharType="separate"/>
            </w:r>
            <w:r w:rsidR="00CC06C1" w:rsidRPr="00D5003F">
              <w:rPr>
                <w:rFonts w:ascii="Aptos" w:hAnsi="Aptos" w:cs="Times New Roman"/>
                <w:sz w:val="20"/>
                <w:szCs w:val="20"/>
              </w:rPr>
              <w:t>(Möller et al., 2024)</w:t>
            </w:r>
            <w:r w:rsidRPr="00D5003F">
              <w:rPr>
                <w:rFonts w:ascii="Aptos" w:hAnsi="Aptos"/>
                <w:sz w:val="20"/>
                <w:szCs w:val="20"/>
                <w:lang w:val="en-US"/>
              </w:rPr>
              <w:fldChar w:fldCharType="end"/>
            </w:r>
          </w:p>
          <w:p w14:paraId="039D41F3" w14:textId="77777777" w:rsidR="00C62C41" w:rsidRPr="00D5003F" w:rsidRDefault="00C62C41">
            <w:pPr>
              <w:widowControl w:val="0"/>
              <w:pBdr>
                <w:top w:val="nil"/>
                <w:left w:val="nil"/>
                <w:bottom w:val="nil"/>
                <w:right w:val="nil"/>
                <w:between w:val="nil"/>
              </w:pBdr>
              <w:spacing w:line="240" w:lineRule="auto"/>
              <w:rPr>
                <w:rFonts w:ascii="Aptos" w:hAnsi="Aptos"/>
                <w:sz w:val="20"/>
                <w:szCs w:val="20"/>
                <w:lang w:val="da-DK"/>
              </w:rPr>
            </w:pPr>
          </w:p>
        </w:tc>
      </w:tr>
      <w:tr w:rsidR="00C62C41" w:rsidRPr="00D5003F" w14:paraId="65D3982A" w14:textId="77777777">
        <w:trPr>
          <w:jc w:val="center"/>
        </w:trPr>
        <w:tc>
          <w:tcPr>
            <w:tcW w:w="1449" w:type="dxa"/>
            <w:tcMar>
              <w:top w:w="100" w:type="dxa"/>
              <w:left w:w="100" w:type="dxa"/>
              <w:bottom w:w="100" w:type="dxa"/>
              <w:right w:w="100" w:type="dxa"/>
            </w:tcMar>
          </w:tcPr>
          <w:p w14:paraId="36765C42" w14:textId="77777777" w:rsidR="00C62C41" w:rsidRPr="00D5003F" w:rsidRDefault="00C62C41">
            <w:pPr>
              <w:widowControl w:val="0"/>
              <w:pBdr>
                <w:top w:val="nil"/>
                <w:left w:val="nil"/>
                <w:bottom w:val="nil"/>
                <w:right w:val="nil"/>
                <w:between w:val="nil"/>
              </w:pBdr>
              <w:spacing w:line="240" w:lineRule="auto"/>
              <w:rPr>
                <w:rFonts w:ascii="Aptos" w:hAnsi="Aptos"/>
                <w:sz w:val="20"/>
                <w:szCs w:val="20"/>
                <w:lang w:val="da-DK"/>
              </w:rPr>
            </w:pPr>
          </w:p>
          <w:p w14:paraId="75BE20E5" w14:textId="77777777" w:rsidR="00C62C41" w:rsidRPr="00D5003F" w:rsidRDefault="00B35C73">
            <w:pPr>
              <w:widowControl w:val="0"/>
              <w:pBdr>
                <w:top w:val="nil"/>
                <w:left w:val="nil"/>
                <w:bottom w:val="nil"/>
                <w:right w:val="nil"/>
                <w:between w:val="nil"/>
              </w:pBdr>
              <w:spacing w:line="240" w:lineRule="auto"/>
              <w:rPr>
                <w:rFonts w:ascii="Aptos" w:hAnsi="Aptos"/>
                <w:sz w:val="20"/>
                <w:szCs w:val="20"/>
              </w:rPr>
            </w:pPr>
            <w:r w:rsidRPr="00D5003F">
              <w:rPr>
                <w:rFonts w:ascii="Aptos" w:hAnsi="Aptos"/>
                <w:sz w:val="20"/>
                <w:szCs w:val="20"/>
              </w:rPr>
              <w:t>Peeken_PS74</w:t>
            </w:r>
          </w:p>
          <w:p w14:paraId="1A00F7FD" w14:textId="77777777" w:rsidR="00C62C41" w:rsidRPr="00D5003F" w:rsidRDefault="00B35C73">
            <w:pPr>
              <w:widowControl w:val="0"/>
              <w:spacing w:line="240" w:lineRule="auto"/>
              <w:rPr>
                <w:rFonts w:ascii="Aptos" w:hAnsi="Aptos"/>
                <w:sz w:val="20"/>
                <w:szCs w:val="20"/>
              </w:rPr>
            </w:pPr>
            <w:r w:rsidRPr="00D5003F">
              <w:rPr>
                <w:rFonts w:ascii="Aptos" w:hAnsi="Aptos"/>
                <w:sz w:val="20"/>
                <w:szCs w:val="20"/>
              </w:rPr>
              <w:t>Peeken_PS76</w:t>
            </w:r>
          </w:p>
          <w:p w14:paraId="3236760F" w14:textId="77777777" w:rsidR="00C62C41" w:rsidRPr="00D5003F" w:rsidRDefault="00B35C73">
            <w:pPr>
              <w:widowControl w:val="0"/>
              <w:spacing w:line="240" w:lineRule="auto"/>
              <w:rPr>
                <w:rFonts w:ascii="Aptos" w:hAnsi="Aptos"/>
                <w:sz w:val="20"/>
                <w:szCs w:val="20"/>
              </w:rPr>
            </w:pPr>
            <w:r w:rsidRPr="00D5003F">
              <w:rPr>
                <w:rFonts w:ascii="Aptos" w:hAnsi="Aptos"/>
                <w:sz w:val="20"/>
                <w:szCs w:val="20"/>
              </w:rPr>
              <w:t>Peeken_PS78</w:t>
            </w:r>
          </w:p>
        </w:tc>
        <w:tc>
          <w:tcPr>
            <w:tcW w:w="2161" w:type="dxa"/>
            <w:tcMar>
              <w:top w:w="100" w:type="dxa"/>
              <w:left w:w="100" w:type="dxa"/>
              <w:bottom w:w="100" w:type="dxa"/>
              <w:right w:w="100" w:type="dxa"/>
            </w:tcMar>
          </w:tcPr>
          <w:p w14:paraId="6E5BEC6C" w14:textId="77777777" w:rsidR="00C62C41" w:rsidRPr="00D5003F" w:rsidRDefault="00B35C73">
            <w:pPr>
              <w:widowControl w:val="0"/>
              <w:pBdr>
                <w:top w:val="nil"/>
                <w:left w:val="nil"/>
                <w:bottom w:val="nil"/>
                <w:right w:val="nil"/>
                <w:between w:val="nil"/>
              </w:pBdr>
              <w:spacing w:line="240" w:lineRule="auto"/>
              <w:rPr>
                <w:rFonts w:ascii="Aptos" w:hAnsi="Aptos"/>
                <w:sz w:val="20"/>
                <w:szCs w:val="20"/>
                <w:lang w:val="en-US"/>
              </w:rPr>
            </w:pPr>
            <w:r w:rsidRPr="00D5003F">
              <w:rPr>
                <w:rFonts w:ascii="Aptos" w:hAnsi="Aptos"/>
                <w:sz w:val="20"/>
                <w:szCs w:val="20"/>
                <w:lang w:val="en-US"/>
              </w:rPr>
              <w:t>HPLC system Waters: auto sampler (717 plus), a pump (600</w:t>
            </w:r>
            <w:proofErr w:type="gramStart"/>
            <w:r w:rsidRPr="00D5003F">
              <w:rPr>
                <w:rFonts w:ascii="Aptos" w:hAnsi="Aptos"/>
                <w:sz w:val="20"/>
                <w:szCs w:val="20"/>
                <w:lang w:val="en-US"/>
              </w:rPr>
              <w:t>),</w:t>
            </w:r>
            <w:proofErr w:type="spellStart"/>
            <w:r w:rsidRPr="00D5003F">
              <w:rPr>
                <w:rFonts w:ascii="Aptos" w:hAnsi="Aptos"/>
                <w:sz w:val="20"/>
                <w:szCs w:val="20"/>
                <w:lang w:val="en-US"/>
              </w:rPr>
              <w:t>photodiodenarray</w:t>
            </w:r>
            <w:proofErr w:type="spellEnd"/>
            <w:proofErr w:type="gramEnd"/>
            <w:r w:rsidRPr="00D5003F">
              <w:rPr>
                <w:rFonts w:ascii="Aptos" w:hAnsi="Aptos"/>
                <w:sz w:val="20"/>
                <w:szCs w:val="20"/>
                <w:lang w:val="en-US"/>
              </w:rPr>
              <w:t xml:space="preserve"> detector (2996), a fluorescence detector (2475) and EMPOWER software. </w:t>
            </w:r>
          </w:p>
          <w:p w14:paraId="5789D64E" w14:textId="77777777" w:rsidR="00C62C41" w:rsidRPr="00D5003F" w:rsidRDefault="00B35C73">
            <w:pPr>
              <w:widowControl w:val="0"/>
              <w:pBdr>
                <w:top w:val="nil"/>
                <w:left w:val="nil"/>
                <w:bottom w:val="nil"/>
                <w:right w:val="nil"/>
                <w:between w:val="nil"/>
              </w:pBdr>
              <w:spacing w:line="240" w:lineRule="auto"/>
              <w:rPr>
                <w:rFonts w:ascii="Aptos" w:hAnsi="Aptos"/>
                <w:sz w:val="20"/>
                <w:szCs w:val="20"/>
                <w:lang w:val="en-US"/>
              </w:rPr>
            </w:pPr>
            <w:r w:rsidRPr="00D5003F">
              <w:rPr>
                <w:rFonts w:ascii="Aptos" w:hAnsi="Aptos"/>
                <w:sz w:val="20"/>
                <w:szCs w:val="20"/>
                <w:lang w:val="en-US"/>
              </w:rPr>
              <w:t xml:space="preserve">reverse-phase HPLC, by </w:t>
            </w:r>
            <w:proofErr w:type="gramStart"/>
            <w:r w:rsidRPr="00D5003F">
              <w:rPr>
                <w:rFonts w:ascii="Aptos" w:hAnsi="Aptos"/>
                <w:sz w:val="20"/>
                <w:szCs w:val="20"/>
                <w:lang w:val="en-US"/>
              </w:rPr>
              <w:t>the utilization</w:t>
            </w:r>
            <w:proofErr w:type="gramEnd"/>
            <w:r w:rsidRPr="00D5003F">
              <w:rPr>
                <w:rFonts w:ascii="Aptos" w:hAnsi="Aptos"/>
                <w:sz w:val="20"/>
                <w:szCs w:val="20"/>
                <w:lang w:val="en-US"/>
              </w:rPr>
              <w:t xml:space="preserve"> of a VARIAN Microsorb-MV3 C8 column (4.6x100 mm) and HPLC-grade solvent (Merck). The mixture of solvent A was built up of 70% methanol and 30% 1 M ammonium acetate </w:t>
            </w:r>
            <w:r w:rsidRPr="00D5003F">
              <w:rPr>
                <w:rFonts w:ascii="Aptos" w:hAnsi="Aptos"/>
                <w:sz w:val="20"/>
                <w:szCs w:val="20"/>
                <w:lang w:val="en-US"/>
              </w:rPr>
              <w:lastRenderedPageBreak/>
              <w:t>whereas solvent B contained 100% methanol (gradient modified after Barlow et al. 1997). Eluting pigments were detected by absorbance (440 nm) and fluorescence (Ex: 410 nm; Em: &gt;600nm). Retention times served to identify the pigments by comparing them with the retention times of pure algal extracts and pure standards. To assure the</w:t>
            </w:r>
            <w:r w:rsidRPr="00D5003F">
              <w:rPr>
                <w:rFonts w:ascii="Aptos" w:hAnsi="Aptos"/>
                <w:sz w:val="20"/>
                <w:szCs w:val="20"/>
                <w:lang w:val="en-US"/>
              </w:rPr>
              <w:t xml:space="preserve"> identity of each pigment diode array absorbance spectrum (390-750 nm) were compared with the library from the injected standards. Pigment concentration was quantified based on the peak areas of external standards </w:t>
            </w:r>
          </w:p>
        </w:tc>
        <w:tc>
          <w:tcPr>
            <w:tcW w:w="1944" w:type="dxa"/>
            <w:tcMar>
              <w:top w:w="100" w:type="dxa"/>
              <w:left w:w="100" w:type="dxa"/>
              <w:bottom w:w="100" w:type="dxa"/>
              <w:right w:w="100" w:type="dxa"/>
            </w:tcMar>
          </w:tcPr>
          <w:p w14:paraId="5DEF5DE7" w14:textId="77777777" w:rsidR="00C62C41" w:rsidRPr="00D5003F" w:rsidRDefault="00B35C73">
            <w:pPr>
              <w:widowControl w:val="0"/>
              <w:pBdr>
                <w:top w:val="nil"/>
                <w:left w:val="nil"/>
                <w:bottom w:val="nil"/>
                <w:right w:val="nil"/>
                <w:between w:val="nil"/>
              </w:pBdr>
              <w:spacing w:line="240" w:lineRule="auto"/>
              <w:rPr>
                <w:rFonts w:ascii="Aptos" w:hAnsi="Aptos"/>
                <w:sz w:val="20"/>
                <w:szCs w:val="20"/>
              </w:rPr>
            </w:pPr>
            <w:r w:rsidRPr="00D5003F">
              <w:rPr>
                <w:rFonts w:ascii="Aptos" w:hAnsi="Aptos"/>
                <w:sz w:val="20"/>
                <w:szCs w:val="20"/>
                <w:lang w:val="en-US"/>
              </w:rPr>
              <w:lastRenderedPageBreak/>
              <w:t xml:space="preserve">The filters were homogenized for 20 sec with 50 </w:t>
            </w:r>
            <w:r w:rsidRPr="00D5003F">
              <w:rPr>
                <w:rFonts w:ascii="Aptos" w:eastAsia="Times New Roman" w:hAnsi="Aptos" w:cs="Times New Roman"/>
                <w:sz w:val="20"/>
                <w:szCs w:val="20"/>
                <w:lang w:val="en-US"/>
              </w:rPr>
              <w:t>µ</w:t>
            </w:r>
            <w:r w:rsidRPr="00D5003F">
              <w:rPr>
                <w:rFonts w:ascii="Aptos" w:hAnsi="Aptos"/>
                <w:sz w:val="20"/>
                <w:szCs w:val="20"/>
                <w:lang w:val="en-US"/>
              </w:rPr>
              <w:t xml:space="preserve">l internal standard (canthaxanthin), 1.5 ml acetone and small glass beads in a </w:t>
            </w:r>
            <w:proofErr w:type="spellStart"/>
            <w:r w:rsidRPr="00D5003F">
              <w:rPr>
                <w:rFonts w:ascii="Aptos" w:hAnsi="Aptos"/>
                <w:sz w:val="20"/>
                <w:szCs w:val="20"/>
                <w:lang w:val="en-US"/>
              </w:rPr>
              <w:t>Precellys</w:t>
            </w:r>
            <w:proofErr w:type="spellEnd"/>
            <w:r w:rsidRPr="00D5003F">
              <w:rPr>
                <w:rFonts w:ascii="Aptos" w:hAnsi="Aptos"/>
                <w:sz w:val="20"/>
                <w:szCs w:val="20"/>
                <w:lang w:val="en-US"/>
              </w:rPr>
              <w:t xml:space="preserve">® tissue homogenizer. Afterwards a centrifugation was performed in which the supernatant liquid was kept and filtered through a 0.2 </w:t>
            </w:r>
            <w:r w:rsidRPr="00D5003F">
              <w:rPr>
                <w:rFonts w:ascii="Aptos" w:eastAsia="Times New Roman" w:hAnsi="Aptos" w:cs="Times New Roman"/>
                <w:sz w:val="20"/>
                <w:szCs w:val="20"/>
                <w:lang w:val="en-US"/>
              </w:rPr>
              <w:t>µ</w:t>
            </w:r>
            <w:r w:rsidRPr="00D5003F">
              <w:rPr>
                <w:rFonts w:ascii="Aptos" w:hAnsi="Aptos"/>
                <w:sz w:val="20"/>
                <w:szCs w:val="20"/>
                <w:lang w:val="en-US"/>
              </w:rPr>
              <w:t xml:space="preserve">m PTFE filter An aliquot of 100µl was transferred to the auto sampler </w:t>
            </w:r>
            <w:r w:rsidRPr="00D5003F">
              <w:rPr>
                <w:rFonts w:ascii="Aptos" w:hAnsi="Aptos"/>
                <w:sz w:val="20"/>
                <w:szCs w:val="20"/>
                <w:lang w:val="en-US"/>
              </w:rPr>
              <w:lastRenderedPageBreak/>
              <w:t xml:space="preserve">(4°C) and mixed with 1M ammonium acetate solution (ration: 1:1). </w:t>
            </w:r>
            <w:proofErr w:type="spellStart"/>
            <w:r w:rsidRPr="00D5003F">
              <w:rPr>
                <w:rFonts w:ascii="Aptos" w:hAnsi="Aptos"/>
                <w:sz w:val="20"/>
                <w:szCs w:val="20"/>
              </w:rPr>
              <w:t>Adjacent</w:t>
            </w:r>
            <w:proofErr w:type="spellEnd"/>
            <w:r w:rsidRPr="00D5003F">
              <w:rPr>
                <w:rFonts w:ascii="Aptos" w:hAnsi="Aptos"/>
                <w:sz w:val="20"/>
                <w:szCs w:val="20"/>
              </w:rPr>
              <w:t xml:space="preserve"> the </w:t>
            </w:r>
            <w:proofErr w:type="spellStart"/>
            <w:r w:rsidRPr="00D5003F">
              <w:rPr>
                <w:rFonts w:ascii="Aptos" w:hAnsi="Aptos"/>
                <w:sz w:val="20"/>
                <w:szCs w:val="20"/>
              </w:rPr>
              <w:t>liquid</w:t>
            </w:r>
            <w:proofErr w:type="spellEnd"/>
            <w:r w:rsidRPr="00D5003F">
              <w:rPr>
                <w:rFonts w:ascii="Aptos" w:hAnsi="Aptos"/>
                <w:sz w:val="20"/>
                <w:szCs w:val="20"/>
              </w:rPr>
              <w:t xml:space="preserve"> </w:t>
            </w:r>
            <w:proofErr w:type="spellStart"/>
            <w:r w:rsidRPr="00D5003F">
              <w:rPr>
                <w:rFonts w:ascii="Aptos" w:hAnsi="Aptos"/>
                <w:sz w:val="20"/>
                <w:szCs w:val="20"/>
              </w:rPr>
              <w:t>was</w:t>
            </w:r>
            <w:proofErr w:type="spellEnd"/>
            <w:r w:rsidRPr="00D5003F">
              <w:rPr>
                <w:rFonts w:ascii="Aptos" w:hAnsi="Aptos"/>
                <w:sz w:val="20"/>
                <w:szCs w:val="20"/>
              </w:rPr>
              <w:t xml:space="preserve"> </w:t>
            </w:r>
            <w:proofErr w:type="spellStart"/>
            <w:r w:rsidRPr="00D5003F">
              <w:rPr>
                <w:rFonts w:ascii="Aptos" w:hAnsi="Aptos"/>
                <w:sz w:val="20"/>
                <w:szCs w:val="20"/>
              </w:rPr>
              <w:t>injected</w:t>
            </w:r>
            <w:proofErr w:type="spellEnd"/>
            <w:r w:rsidRPr="00D5003F">
              <w:rPr>
                <w:rFonts w:ascii="Aptos" w:hAnsi="Aptos"/>
                <w:sz w:val="20"/>
                <w:szCs w:val="20"/>
              </w:rPr>
              <w:t xml:space="preserve"> </w:t>
            </w:r>
            <w:proofErr w:type="spellStart"/>
            <w:r w:rsidRPr="00D5003F">
              <w:rPr>
                <w:rFonts w:ascii="Aptos" w:hAnsi="Aptos"/>
                <w:sz w:val="20"/>
                <w:szCs w:val="20"/>
              </w:rPr>
              <w:t>onto</w:t>
            </w:r>
            <w:proofErr w:type="spellEnd"/>
            <w:r w:rsidRPr="00D5003F">
              <w:rPr>
                <w:rFonts w:ascii="Aptos" w:hAnsi="Aptos"/>
                <w:sz w:val="20"/>
                <w:szCs w:val="20"/>
              </w:rPr>
              <w:t xml:space="preserve"> the HPLC-system </w:t>
            </w:r>
          </w:p>
        </w:tc>
        <w:tc>
          <w:tcPr>
            <w:tcW w:w="1775" w:type="dxa"/>
            <w:tcMar>
              <w:top w:w="100" w:type="dxa"/>
              <w:left w:w="100" w:type="dxa"/>
              <w:bottom w:w="100" w:type="dxa"/>
              <w:right w:w="100" w:type="dxa"/>
            </w:tcMar>
          </w:tcPr>
          <w:p w14:paraId="42F25284" w14:textId="77777777" w:rsidR="00C62C41" w:rsidRPr="00D5003F" w:rsidRDefault="00B35C73">
            <w:pPr>
              <w:widowControl w:val="0"/>
              <w:spacing w:after="200" w:line="240" w:lineRule="auto"/>
              <w:rPr>
                <w:rFonts w:ascii="Aptos" w:hAnsi="Aptos"/>
                <w:sz w:val="20"/>
                <w:szCs w:val="20"/>
                <w:lang w:val="en-US"/>
              </w:rPr>
            </w:pPr>
            <w:r w:rsidRPr="00D5003F">
              <w:rPr>
                <w:rFonts w:ascii="Aptos" w:hAnsi="Aptos"/>
                <w:sz w:val="20"/>
                <w:szCs w:val="20"/>
                <w:lang w:val="en-US"/>
              </w:rPr>
              <w:lastRenderedPageBreak/>
              <w:t xml:space="preserve">Concentrations of external standards were spectrophotometrically determined using extinction coefficients of Bidigare, (1991) and Jeffrey et al. </w:t>
            </w:r>
            <w:r w:rsidRPr="00D5003F">
              <w:rPr>
                <w:rFonts w:ascii="Aptos" w:hAnsi="Aptos"/>
                <w:sz w:val="20"/>
                <w:szCs w:val="20"/>
              </w:rPr>
              <w:t xml:space="preserve">(1997). </w:t>
            </w:r>
            <w:proofErr w:type="gramStart"/>
            <w:r w:rsidRPr="00D5003F">
              <w:rPr>
                <w:rFonts w:ascii="Aptos" w:hAnsi="Aptos"/>
                <w:sz w:val="20"/>
                <w:szCs w:val="20"/>
                <w:lang w:val="en-US"/>
              </w:rPr>
              <w:t>A normalization</w:t>
            </w:r>
            <w:proofErr w:type="gramEnd"/>
            <w:r w:rsidRPr="00D5003F">
              <w:rPr>
                <w:rFonts w:ascii="Aptos" w:hAnsi="Aptos"/>
                <w:sz w:val="20"/>
                <w:szCs w:val="20"/>
                <w:lang w:val="en-US"/>
              </w:rPr>
              <w:t xml:space="preserve"> of the pigment concentrations to the internal standard (canthaxanthin) was finally done to counteract possible bias by </w:t>
            </w:r>
            <w:r w:rsidRPr="00D5003F">
              <w:rPr>
                <w:rFonts w:ascii="Aptos" w:hAnsi="Aptos"/>
                <w:sz w:val="20"/>
                <w:szCs w:val="20"/>
                <w:lang w:val="en-US"/>
              </w:rPr>
              <w:lastRenderedPageBreak/>
              <w:t>volume change and experimental losses.</w:t>
            </w:r>
          </w:p>
          <w:p w14:paraId="6554657F" w14:textId="77777777" w:rsidR="00C62C41" w:rsidRPr="00D5003F" w:rsidRDefault="00C62C41">
            <w:pPr>
              <w:widowControl w:val="0"/>
              <w:pBdr>
                <w:top w:val="nil"/>
                <w:left w:val="nil"/>
                <w:bottom w:val="nil"/>
                <w:right w:val="nil"/>
                <w:between w:val="nil"/>
              </w:pBdr>
              <w:spacing w:line="240" w:lineRule="auto"/>
              <w:rPr>
                <w:rFonts w:ascii="Aptos" w:hAnsi="Aptos"/>
                <w:sz w:val="20"/>
                <w:szCs w:val="20"/>
                <w:lang w:val="en-US"/>
              </w:rPr>
            </w:pPr>
          </w:p>
        </w:tc>
        <w:tc>
          <w:tcPr>
            <w:tcW w:w="1775" w:type="dxa"/>
            <w:tcMar>
              <w:top w:w="100" w:type="dxa"/>
              <w:left w:w="100" w:type="dxa"/>
              <w:bottom w:w="100" w:type="dxa"/>
              <w:right w:w="100" w:type="dxa"/>
            </w:tcMar>
          </w:tcPr>
          <w:p w14:paraId="6D0C4F71" w14:textId="07630BB8" w:rsidR="00C62C41" w:rsidRPr="00D5003F" w:rsidRDefault="00B35C73">
            <w:pPr>
              <w:widowControl w:val="0"/>
              <w:spacing w:line="240" w:lineRule="auto"/>
              <w:rPr>
                <w:rFonts w:ascii="Aptos" w:hAnsi="Aptos"/>
                <w:sz w:val="20"/>
                <w:szCs w:val="20"/>
                <w:lang w:val="en-US"/>
              </w:rPr>
            </w:pPr>
            <w:r w:rsidRPr="00D5003F">
              <w:rPr>
                <w:rFonts w:ascii="Aptos" w:hAnsi="Aptos"/>
                <w:sz w:val="20"/>
                <w:szCs w:val="20"/>
                <w:lang w:val="en-US"/>
              </w:rPr>
              <w:lastRenderedPageBreak/>
              <w:t xml:space="preserve">Follows </w:t>
            </w:r>
            <w:r w:rsidR="00BC235D" w:rsidRPr="00D5003F">
              <w:rPr>
                <w:rFonts w:ascii="Aptos" w:hAnsi="Aptos"/>
                <w:sz w:val="20"/>
                <w:szCs w:val="20"/>
                <w:lang w:val="en-US"/>
              </w:rPr>
              <w:fldChar w:fldCharType="begin"/>
            </w:r>
            <w:r w:rsidR="00BC235D" w:rsidRPr="00D5003F">
              <w:rPr>
                <w:rFonts w:ascii="Aptos" w:hAnsi="Aptos"/>
                <w:sz w:val="20"/>
                <w:szCs w:val="20"/>
                <w:lang w:val="en-US"/>
              </w:rPr>
              <w:instrText xml:space="preserve"> ADDIN ZOTERO_ITEM CSL_CITATION {"citationID":"pUPalezO","properties":{"formattedCitation":"(Barlow et al., 1997)","plainCitation":"(Barlow et al., 1997)","noteIndex":0},"citationItems":[{"id":2593,"uris":["http://zotero.org/users/13776053/items/NMBEKHBJ"],"itemData":{"id":2593,"type":"article-journal","abstract":"A reverse phase HPLC (high performance liquid chromatography) technique using a binary solvent system with a linear gradient on a Hypersil® MOS2 C-8 column is described. As well as the...","container-title":"Marine Ecology Progress Series","DOI":"10.3354/meps161303","ISSN":"1616-1599, 0171-8630","language":"en-US","page":"303-307","source":"www.int-res.com","title":"Improved resolution of mono- and divinyl chlorophylls a and b and zeaxanthin and lutein in phytoplankton extracts using reverse phase C-8 HPLC","volume":"161","author":[{"family":"Barlow","given":"R. G."},{"family":"Cummings","given":"D. G."},{"family":"Gibb","given":"S. W."}],"issued":{"date-parts":[["1997",12,31]]}}}],"schema":"https://github.com/citation-style-language/schema/raw/master/csl-citation.json"} </w:instrText>
            </w:r>
            <w:r w:rsidR="00BC235D" w:rsidRPr="00D5003F">
              <w:rPr>
                <w:rFonts w:ascii="Aptos" w:hAnsi="Aptos"/>
                <w:sz w:val="20"/>
                <w:szCs w:val="20"/>
                <w:lang w:val="en-US"/>
              </w:rPr>
              <w:fldChar w:fldCharType="separate"/>
            </w:r>
            <w:r w:rsidR="00BC235D" w:rsidRPr="00D5003F">
              <w:rPr>
                <w:rFonts w:ascii="Aptos" w:hAnsi="Aptos"/>
                <w:sz w:val="20"/>
                <w:szCs w:val="20"/>
                <w:lang w:val="en-US"/>
              </w:rPr>
              <w:t>(Barlow et al., 1997)</w:t>
            </w:r>
            <w:r w:rsidR="00BC235D" w:rsidRPr="00D5003F">
              <w:rPr>
                <w:rFonts w:ascii="Aptos" w:hAnsi="Aptos"/>
                <w:sz w:val="20"/>
                <w:szCs w:val="20"/>
                <w:lang w:val="en-US"/>
              </w:rPr>
              <w:fldChar w:fldCharType="end"/>
            </w:r>
            <w:r w:rsidR="00BC235D" w:rsidRPr="00D5003F">
              <w:rPr>
                <w:rFonts w:ascii="Aptos" w:hAnsi="Aptos"/>
                <w:sz w:val="20"/>
                <w:szCs w:val="20"/>
                <w:lang w:val="en-US"/>
              </w:rPr>
              <w:t xml:space="preserve">, </w:t>
            </w:r>
            <w:r w:rsidRPr="00D5003F">
              <w:rPr>
                <w:rFonts w:ascii="Aptos" w:hAnsi="Aptos"/>
                <w:sz w:val="20"/>
                <w:szCs w:val="20"/>
                <w:lang w:val="en-US"/>
              </w:rPr>
              <w:t xml:space="preserve">adapted for open ocean and polar waters by </w:t>
            </w:r>
          </w:p>
          <w:p w14:paraId="424198F1" w14:textId="73F6D38F" w:rsidR="00680932" w:rsidRPr="00D5003F" w:rsidRDefault="00680932">
            <w:pPr>
              <w:widowControl w:val="0"/>
              <w:spacing w:line="240" w:lineRule="auto"/>
              <w:rPr>
                <w:rFonts w:ascii="Aptos" w:hAnsi="Aptos"/>
                <w:sz w:val="20"/>
                <w:szCs w:val="20"/>
                <w:lang w:val="da-DK"/>
              </w:rPr>
            </w:pPr>
            <w:r w:rsidRPr="00D5003F">
              <w:rPr>
                <w:rFonts w:ascii="Aptos" w:hAnsi="Aptos"/>
                <w:sz w:val="20"/>
                <w:szCs w:val="20"/>
                <w:lang w:val="en-US"/>
              </w:rPr>
              <w:fldChar w:fldCharType="begin"/>
            </w:r>
            <w:r w:rsidRPr="00D5003F">
              <w:rPr>
                <w:rFonts w:ascii="Aptos" w:hAnsi="Aptos"/>
                <w:sz w:val="20"/>
                <w:szCs w:val="20"/>
                <w:lang w:val="da-DK"/>
              </w:rPr>
              <w:instrText xml:space="preserve"> ADDIN ZOTERO_ITEM CSL_CITATION {"citationID":"kaMgbWJr","properties":{"formattedCitation":"(Hoffmann et al., 2006)","plainCitation":"(Hoffmann et al., 2006)","noteIndex":0},"citationItems":[{"id":2595,"uris":["http://zotero.org/users/13776053/items/9MITEZNV"],"itemData":{"id":2595,"type":"article-journal","abstract":"During the European Iron Fertilisation Experiment (EIFEX), performed in the Southern Ocean, we investigated the reactions of different phytoplankton size classes to iron fertilization, applying measurements of size fractionated pigments, particulate organic matter, microscopy, and flow cytometry. Chlorophyll a (Chl a) concentrations at 20-m depth increased more than fivefold following fertilization through day 26, while concentrations of particulate organic carbon (POC), nitrogen (PON), and phosphorus (POP) roughly doubled through day 29. Concentrations of Chl a and particulate organic matter decreased toward the end of the experiment, indicating the demise of the iron-induced phytoplankton bloom. Despite a decrease in total diatom biomass at the end of the experiment, biogenic particulate silicate (bPSi) concentrations increased steadily due to a relative increase of heavily silicified diatoms. Although diatoms &gt;10 µm were the main beneficiaries of iron fertilization, the growth of small diatoms (2-8 mm) was also enhanced, leading to a shift from a haptophyte- to a diatom-dominated community in this size fraction. The total biomass had lower than Redfield C : N, N : P, and C : P ratios but did not show significant trends after iron fertilization. This concealed various alterations in the elemental composition of the different size fractions. The microplankton (&gt;20 µm) showed decreasing C : N and increasing N : P and C : P ratios, possibly caused by increased N uptake and the consumption of cellular P pools. The nanoplankton (2-20 µm) showed almost constant C : N and decreasing N : P and C : P ratios. Our results suggest that the latter is caused by a shift in composition of taxonomic groups.","container-title":"Limnology and Oceanography","DOI":"10.4319/lo.2006.51.3.1217","ISSN":"1939-5590","issue":"3","language":"en","license":"© 2006, by the Association for the Sciences of Limnology and Oceanography, Inc.","note":"_eprint: https://aslopubs.onlinelibrary.wiley.com/doi/pdf/10.4319/lo.2006.51.3.1217","page":"1217-1229","source":"Wiley Online Library","title":"Different reactions of Southern Ocean phytoplankton size classes to iron fertilization","volume":"51","author":[{"family":"Hoffmann","given":"Linn J."},{"family":"Peeken","given":"Ilka"},{"family":"Lochte","given":"Karin"},{"family":"Assmy","given":"Philipp"},{"family":"Veldhuis","given":"Marcel"}],"issued":{"date-parts":[["2006"]]}}}],"schema":"https://github.com/citation-style-language/schema/raw/master/csl-citation.json"} </w:instrText>
            </w:r>
            <w:r w:rsidRPr="00D5003F">
              <w:rPr>
                <w:rFonts w:ascii="Aptos" w:hAnsi="Aptos"/>
                <w:sz w:val="20"/>
                <w:szCs w:val="20"/>
                <w:lang w:val="en-US"/>
              </w:rPr>
              <w:fldChar w:fldCharType="separate"/>
            </w:r>
            <w:r w:rsidR="00CC06C1" w:rsidRPr="00D5003F">
              <w:rPr>
                <w:rFonts w:ascii="Aptos" w:hAnsi="Aptos"/>
                <w:sz w:val="20"/>
                <w:szCs w:val="20"/>
                <w:lang w:val="da-DK"/>
              </w:rPr>
              <w:t>(Hoffmann et al., 2006)</w:t>
            </w:r>
            <w:r w:rsidRPr="00D5003F">
              <w:rPr>
                <w:rFonts w:ascii="Aptos" w:hAnsi="Aptos"/>
                <w:sz w:val="20"/>
                <w:szCs w:val="20"/>
                <w:lang w:val="en-US"/>
              </w:rPr>
              <w:fldChar w:fldCharType="end"/>
            </w:r>
          </w:p>
          <w:p w14:paraId="7BE12C2F" w14:textId="7045B36C" w:rsidR="00C62C41" w:rsidRPr="00C45FF4" w:rsidRDefault="00C62C41" w:rsidP="00BC235D">
            <w:pPr>
              <w:widowControl w:val="0"/>
              <w:spacing w:before="260" w:after="260" w:line="240" w:lineRule="auto"/>
              <w:rPr>
                <w:rFonts w:ascii="Aptos" w:hAnsi="Aptos"/>
                <w:sz w:val="20"/>
                <w:szCs w:val="20"/>
                <w:lang w:val="da-DK"/>
              </w:rPr>
            </w:pPr>
          </w:p>
          <w:p w14:paraId="598C587B" w14:textId="7575FE2D" w:rsidR="00916F8A" w:rsidRPr="00C45FF4" w:rsidRDefault="00916F8A">
            <w:pPr>
              <w:widowControl w:val="0"/>
              <w:spacing w:before="260" w:after="260" w:line="240" w:lineRule="auto"/>
              <w:rPr>
                <w:rFonts w:ascii="Aptos" w:hAnsi="Aptos"/>
                <w:sz w:val="20"/>
                <w:szCs w:val="20"/>
                <w:lang w:val="da-DK"/>
              </w:rPr>
            </w:pPr>
            <w:r w:rsidRPr="00D5003F">
              <w:rPr>
                <w:rFonts w:ascii="Aptos" w:hAnsi="Aptos"/>
                <w:sz w:val="20"/>
                <w:szCs w:val="20"/>
                <w:lang w:val="en-US"/>
              </w:rPr>
              <w:fldChar w:fldCharType="begin"/>
            </w:r>
            <w:r w:rsidR="00D41E20">
              <w:rPr>
                <w:rFonts w:ascii="Aptos" w:hAnsi="Aptos"/>
                <w:sz w:val="20"/>
                <w:szCs w:val="20"/>
                <w:lang w:val="da-DK"/>
              </w:rPr>
              <w:instrText xml:space="preserve"> ADDIN ZOTERO_ITEM CSL_CITATION {"citationID":"fCVcNbZt","properties":{"formattedCitation":"(Bidigare, 1991)","plainCitation":"(Bidigare, 1991)","noteIndex":0},"citationItems":[{"id":"wqBmd9Wu/swMWHzQu","uris":["http://zotero.org/users/13776053/items/XUCRP2KN"],"itemData":{"id":"lQPOzG2G/D9KqVzgP","type":"chapter","abstract":"This chapter contains sections titled: Sample Collection Filtration Sample Storage Extraction HPLC Pigment Separations Peak Detection and Identification Quantification Quality Assurance Procedures","container-title":"Marine Particles: Analysis and Characterization","ISBN":"978-1-118-66377-6","language":"en","license":"Copyright 1991 by the American Geophysical Union.","note":"_eprint: https://agupubs.onlinelibrary.wiley.com/doi/pdf/10.1029/GM063p0119\nDOI: 10.1029/GM063p0119","page":"119-123","publisher":"American Geophysical Union (AGU)","source":"Wiley Online Library","title":"Analysis of Algal Chlorophylls and Carotenoids","URL":"https://onlinelibrary.wiley.com/doi/abs/10.1029/GM063p0119","author":[{"family":"Bidigare","given":"Robert R."}],"accessed":{"date-parts":[["2026",5,21]]},"issued":{"date-parts":[["1991"]]}}}],"schema":"https://github.com/citation-style-language/schema/raw/master/csl-citation.json"} </w:instrText>
            </w:r>
            <w:r w:rsidRPr="00D5003F">
              <w:rPr>
                <w:rFonts w:ascii="Aptos" w:hAnsi="Aptos"/>
                <w:sz w:val="20"/>
                <w:szCs w:val="20"/>
                <w:lang w:val="en-US"/>
              </w:rPr>
              <w:fldChar w:fldCharType="separate"/>
            </w:r>
            <w:r w:rsidR="00CC06C1" w:rsidRPr="00C45FF4">
              <w:rPr>
                <w:rFonts w:ascii="Aptos" w:hAnsi="Aptos"/>
                <w:sz w:val="20"/>
                <w:szCs w:val="20"/>
                <w:lang w:val="da-DK"/>
              </w:rPr>
              <w:t>(Bidigare, 1991)</w:t>
            </w:r>
            <w:r w:rsidRPr="00D5003F">
              <w:rPr>
                <w:rFonts w:ascii="Aptos" w:hAnsi="Aptos"/>
                <w:sz w:val="20"/>
                <w:szCs w:val="20"/>
                <w:lang w:val="en-US"/>
              </w:rPr>
              <w:fldChar w:fldCharType="end"/>
            </w:r>
          </w:p>
          <w:p w14:paraId="2AC5156C" w14:textId="096A045B" w:rsidR="00C62C41" w:rsidRPr="00C45FF4" w:rsidRDefault="00EC3E8E" w:rsidP="00BC235D">
            <w:pPr>
              <w:widowControl w:val="0"/>
              <w:spacing w:before="260" w:after="260" w:line="240" w:lineRule="auto"/>
              <w:rPr>
                <w:rFonts w:ascii="Aptos" w:hAnsi="Aptos"/>
                <w:sz w:val="20"/>
                <w:szCs w:val="20"/>
                <w:lang w:val="da-DK"/>
              </w:rPr>
            </w:pPr>
            <w:r w:rsidRPr="00D5003F">
              <w:rPr>
                <w:rFonts w:ascii="Aptos" w:hAnsi="Aptos"/>
                <w:sz w:val="20"/>
                <w:szCs w:val="20"/>
              </w:rPr>
              <w:fldChar w:fldCharType="begin"/>
            </w:r>
            <w:r w:rsidRPr="00C45FF4">
              <w:rPr>
                <w:rFonts w:ascii="Aptos" w:hAnsi="Aptos"/>
                <w:sz w:val="20"/>
                <w:szCs w:val="20"/>
                <w:lang w:val="da-DK"/>
              </w:rPr>
              <w:instrText xml:space="preserve"> ADDIN ZOTERO_ITEM CSL_CITATION {"citationID":"ZjLA6KEG","properties":{"formattedCitation":"(Jeffrey and Vesk, 1997)","plainCitation":"(Jeffrey and Vesk, 1997)","noteIndex":0},"citationItems":[{"id":2605,"uris":["http://zotero.org/users/13776053/items/73M2XKQ7"],"itemData":{"id":2605,"type":"article-journal","container-title":"Monographs on oceanographic methodology","journalAbbreviation":"Monographs on oceanographic methodology","title":"Introduction to marine phytoplankton and their pigment signatures","author":[{"family":"Jeffrey","given":"SW"},{"family":"Vesk","given":"Maret"}],"issued":{"date-parts":[["1997"]]}}}],"schema":"https://github.com/citation-style-language/schema/raw/master/csl-citation.json"} </w:instrText>
            </w:r>
            <w:r w:rsidRPr="00D5003F">
              <w:rPr>
                <w:rFonts w:ascii="Aptos" w:hAnsi="Aptos"/>
                <w:sz w:val="20"/>
                <w:szCs w:val="20"/>
              </w:rPr>
              <w:fldChar w:fldCharType="separate"/>
            </w:r>
            <w:r w:rsidR="00CC06C1" w:rsidRPr="00C45FF4">
              <w:rPr>
                <w:rFonts w:ascii="Aptos" w:hAnsi="Aptos"/>
                <w:sz w:val="20"/>
                <w:szCs w:val="20"/>
                <w:lang w:val="da-DK"/>
              </w:rPr>
              <w:t>(Jeffrey and Vesk, 1997)</w:t>
            </w:r>
            <w:r w:rsidRPr="00D5003F">
              <w:rPr>
                <w:rFonts w:ascii="Aptos" w:hAnsi="Aptos"/>
                <w:sz w:val="20"/>
                <w:szCs w:val="20"/>
              </w:rPr>
              <w:fldChar w:fldCharType="end"/>
            </w:r>
          </w:p>
        </w:tc>
      </w:tr>
      <w:tr w:rsidR="00C62C41" w:rsidRPr="00DF1C2E" w14:paraId="11A5B4AB" w14:textId="77777777">
        <w:trPr>
          <w:jc w:val="center"/>
        </w:trPr>
        <w:tc>
          <w:tcPr>
            <w:tcW w:w="1449" w:type="dxa"/>
            <w:tcMar>
              <w:top w:w="100" w:type="dxa"/>
              <w:left w:w="100" w:type="dxa"/>
              <w:bottom w:w="100" w:type="dxa"/>
              <w:right w:w="100" w:type="dxa"/>
            </w:tcMar>
          </w:tcPr>
          <w:p w14:paraId="01816B7D" w14:textId="77777777" w:rsidR="00C62C41" w:rsidRPr="00D5003F" w:rsidRDefault="00B35C73">
            <w:pPr>
              <w:widowControl w:val="0"/>
              <w:spacing w:line="240" w:lineRule="auto"/>
              <w:rPr>
                <w:rFonts w:ascii="Aptos" w:hAnsi="Aptos"/>
                <w:sz w:val="20"/>
                <w:szCs w:val="20"/>
              </w:rPr>
            </w:pPr>
            <w:r w:rsidRPr="00D5003F">
              <w:rPr>
                <w:rFonts w:ascii="Aptos" w:hAnsi="Aptos"/>
                <w:sz w:val="20"/>
                <w:szCs w:val="20"/>
              </w:rPr>
              <w:t>Peeken_PS80</w:t>
            </w:r>
          </w:p>
          <w:p w14:paraId="5D0540EC" w14:textId="77777777" w:rsidR="00C62C41" w:rsidRPr="00D5003F" w:rsidRDefault="00C62C41">
            <w:pPr>
              <w:widowControl w:val="0"/>
              <w:pBdr>
                <w:top w:val="nil"/>
                <w:left w:val="nil"/>
                <w:bottom w:val="nil"/>
                <w:right w:val="nil"/>
                <w:between w:val="nil"/>
              </w:pBdr>
              <w:spacing w:line="240" w:lineRule="auto"/>
              <w:rPr>
                <w:rFonts w:ascii="Aptos" w:hAnsi="Aptos"/>
                <w:sz w:val="20"/>
                <w:szCs w:val="20"/>
              </w:rPr>
            </w:pPr>
          </w:p>
        </w:tc>
        <w:tc>
          <w:tcPr>
            <w:tcW w:w="2161" w:type="dxa"/>
            <w:tcMar>
              <w:top w:w="100" w:type="dxa"/>
              <w:left w:w="100" w:type="dxa"/>
              <w:bottom w:w="100" w:type="dxa"/>
              <w:right w:w="100" w:type="dxa"/>
            </w:tcMar>
          </w:tcPr>
          <w:p w14:paraId="2D988583" w14:textId="77777777" w:rsidR="00C62C41" w:rsidRPr="00D5003F" w:rsidRDefault="00B35C73">
            <w:pPr>
              <w:widowControl w:val="0"/>
              <w:spacing w:line="240" w:lineRule="auto"/>
              <w:rPr>
                <w:rFonts w:ascii="Aptos" w:hAnsi="Aptos"/>
                <w:sz w:val="20"/>
                <w:szCs w:val="20"/>
                <w:lang w:val="en-US"/>
              </w:rPr>
            </w:pPr>
            <w:r w:rsidRPr="00D5003F">
              <w:rPr>
                <w:rFonts w:ascii="Aptos" w:hAnsi="Aptos"/>
                <w:sz w:val="20"/>
                <w:szCs w:val="20"/>
                <w:lang w:val="en-US"/>
              </w:rPr>
              <w:t>As Peeken_PS</w:t>
            </w:r>
            <w:proofErr w:type="gramStart"/>
            <w:r w:rsidRPr="00D5003F">
              <w:rPr>
                <w:rFonts w:ascii="Aptos" w:hAnsi="Aptos"/>
                <w:sz w:val="20"/>
                <w:szCs w:val="20"/>
                <w:lang w:val="en-US"/>
              </w:rPr>
              <w:t>74,Peeken</w:t>
            </w:r>
            <w:proofErr w:type="gramEnd"/>
            <w:r w:rsidRPr="00D5003F">
              <w:rPr>
                <w:rFonts w:ascii="Aptos" w:hAnsi="Aptos"/>
                <w:sz w:val="20"/>
                <w:szCs w:val="20"/>
                <w:lang w:val="en-US"/>
              </w:rPr>
              <w:t>_PS76, Peeken_PS78</w:t>
            </w:r>
          </w:p>
          <w:p w14:paraId="4F46C77C" w14:textId="77777777" w:rsidR="00C62C41" w:rsidRPr="00D5003F" w:rsidRDefault="00B35C73">
            <w:pPr>
              <w:widowControl w:val="0"/>
              <w:spacing w:line="240" w:lineRule="auto"/>
              <w:rPr>
                <w:rFonts w:ascii="Aptos" w:hAnsi="Aptos"/>
                <w:sz w:val="20"/>
                <w:szCs w:val="20"/>
                <w:lang w:val="en-US"/>
              </w:rPr>
            </w:pPr>
            <w:r w:rsidRPr="00D5003F">
              <w:rPr>
                <w:rFonts w:ascii="Aptos" w:hAnsi="Aptos"/>
                <w:sz w:val="20"/>
                <w:szCs w:val="20"/>
                <w:lang w:val="en-US"/>
              </w:rPr>
              <w:t>but Waters: auto sampler (717 plus) replaced by OPTIMAS™ autosampler</w:t>
            </w:r>
          </w:p>
        </w:tc>
        <w:tc>
          <w:tcPr>
            <w:tcW w:w="1944" w:type="dxa"/>
            <w:tcMar>
              <w:top w:w="100" w:type="dxa"/>
              <w:left w:w="100" w:type="dxa"/>
              <w:bottom w:w="100" w:type="dxa"/>
              <w:right w:w="100" w:type="dxa"/>
            </w:tcMar>
          </w:tcPr>
          <w:p w14:paraId="695FB22B" w14:textId="77777777" w:rsidR="00C62C41" w:rsidRPr="00D5003F" w:rsidRDefault="00B35C73">
            <w:pPr>
              <w:widowControl w:val="0"/>
              <w:spacing w:line="240" w:lineRule="auto"/>
              <w:rPr>
                <w:rFonts w:ascii="Aptos" w:hAnsi="Aptos"/>
                <w:sz w:val="20"/>
                <w:szCs w:val="20"/>
                <w:lang w:val="en-US"/>
              </w:rPr>
            </w:pPr>
            <w:r w:rsidRPr="00D5003F">
              <w:rPr>
                <w:rFonts w:ascii="Aptos" w:hAnsi="Aptos"/>
                <w:sz w:val="20"/>
                <w:szCs w:val="20"/>
                <w:lang w:val="en-US"/>
              </w:rPr>
              <w:t>As Peeken_PS</w:t>
            </w:r>
            <w:proofErr w:type="gramStart"/>
            <w:r w:rsidRPr="00D5003F">
              <w:rPr>
                <w:rFonts w:ascii="Aptos" w:hAnsi="Aptos"/>
                <w:sz w:val="20"/>
                <w:szCs w:val="20"/>
                <w:lang w:val="en-US"/>
              </w:rPr>
              <w:t>74,Peeken</w:t>
            </w:r>
            <w:proofErr w:type="gramEnd"/>
            <w:r w:rsidRPr="00D5003F">
              <w:rPr>
                <w:rFonts w:ascii="Aptos" w:hAnsi="Aptos"/>
                <w:sz w:val="20"/>
                <w:szCs w:val="20"/>
                <w:lang w:val="en-US"/>
              </w:rPr>
              <w:t>_PS76, Peeken_PS78</w:t>
            </w:r>
          </w:p>
          <w:p w14:paraId="1742F876" w14:textId="77777777" w:rsidR="00C62C41" w:rsidRPr="00D5003F" w:rsidRDefault="00C62C41">
            <w:pPr>
              <w:widowControl w:val="0"/>
              <w:pBdr>
                <w:top w:val="nil"/>
                <w:left w:val="nil"/>
                <w:bottom w:val="nil"/>
                <w:right w:val="nil"/>
                <w:between w:val="nil"/>
              </w:pBdr>
              <w:spacing w:line="240" w:lineRule="auto"/>
              <w:rPr>
                <w:rFonts w:ascii="Aptos" w:hAnsi="Aptos"/>
                <w:sz w:val="20"/>
                <w:szCs w:val="20"/>
                <w:lang w:val="en-US"/>
              </w:rPr>
            </w:pPr>
          </w:p>
        </w:tc>
        <w:tc>
          <w:tcPr>
            <w:tcW w:w="1775" w:type="dxa"/>
            <w:tcMar>
              <w:top w:w="100" w:type="dxa"/>
              <w:left w:w="100" w:type="dxa"/>
              <w:bottom w:w="100" w:type="dxa"/>
              <w:right w:w="100" w:type="dxa"/>
            </w:tcMar>
          </w:tcPr>
          <w:p w14:paraId="7F427C5D" w14:textId="77777777" w:rsidR="00C62C41" w:rsidRPr="00D5003F" w:rsidRDefault="00B35C73">
            <w:pPr>
              <w:widowControl w:val="0"/>
              <w:spacing w:line="240" w:lineRule="auto"/>
              <w:rPr>
                <w:rFonts w:ascii="Aptos" w:hAnsi="Aptos"/>
                <w:sz w:val="20"/>
                <w:szCs w:val="20"/>
                <w:lang w:val="en-US"/>
              </w:rPr>
            </w:pPr>
            <w:r w:rsidRPr="00D5003F">
              <w:rPr>
                <w:rFonts w:ascii="Aptos" w:hAnsi="Aptos"/>
                <w:sz w:val="20"/>
                <w:szCs w:val="20"/>
                <w:lang w:val="en-US"/>
              </w:rPr>
              <w:t>As Peeken_PS</w:t>
            </w:r>
            <w:proofErr w:type="gramStart"/>
            <w:r w:rsidRPr="00D5003F">
              <w:rPr>
                <w:rFonts w:ascii="Aptos" w:hAnsi="Aptos"/>
                <w:sz w:val="20"/>
                <w:szCs w:val="20"/>
                <w:lang w:val="en-US"/>
              </w:rPr>
              <w:t>74,Peeken</w:t>
            </w:r>
            <w:proofErr w:type="gramEnd"/>
            <w:r w:rsidRPr="00D5003F">
              <w:rPr>
                <w:rFonts w:ascii="Aptos" w:hAnsi="Aptos"/>
                <w:sz w:val="20"/>
                <w:szCs w:val="20"/>
                <w:lang w:val="en-US"/>
              </w:rPr>
              <w:t>_PS76, Peeken_PS78</w:t>
            </w:r>
          </w:p>
        </w:tc>
        <w:tc>
          <w:tcPr>
            <w:tcW w:w="1775" w:type="dxa"/>
            <w:tcMar>
              <w:top w:w="100" w:type="dxa"/>
              <w:left w:w="100" w:type="dxa"/>
              <w:bottom w:w="100" w:type="dxa"/>
              <w:right w:w="100" w:type="dxa"/>
            </w:tcMar>
          </w:tcPr>
          <w:p w14:paraId="34A9F026" w14:textId="77777777" w:rsidR="00C62C41" w:rsidRPr="00D5003F" w:rsidRDefault="00B35C73">
            <w:pPr>
              <w:widowControl w:val="0"/>
              <w:spacing w:line="240" w:lineRule="auto"/>
              <w:rPr>
                <w:rFonts w:ascii="Aptos" w:hAnsi="Aptos"/>
                <w:sz w:val="20"/>
                <w:szCs w:val="20"/>
                <w:lang w:val="en-US"/>
              </w:rPr>
            </w:pPr>
            <w:r w:rsidRPr="00D5003F">
              <w:rPr>
                <w:rFonts w:ascii="Aptos" w:hAnsi="Aptos"/>
                <w:sz w:val="20"/>
                <w:szCs w:val="20"/>
                <w:lang w:val="en-US"/>
              </w:rPr>
              <w:t>As Peeken_PS</w:t>
            </w:r>
            <w:proofErr w:type="gramStart"/>
            <w:r w:rsidRPr="00D5003F">
              <w:rPr>
                <w:rFonts w:ascii="Aptos" w:hAnsi="Aptos"/>
                <w:sz w:val="20"/>
                <w:szCs w:val="20"/>
                <w:lang w:val="en-US"/>
              </w:rPr>
              <w:t>74,Peeken</w:t>
            </w:r>
            <w:proofErr w:type="gramEnd"/>
            <w:r w:rsidRPr="00D5003F">
              <w:rPr>
                <w:rFonts w:ascii="Aptos" w:hAnsi="Aptos"/>
                <w:sz w:val="20"/>
                <w:szCs w:val="20"/>
                <w:lang w:val="en-US"/>
              </w:rPr>
              <w:t>_PS76, Peeken_PS78</w:t>
            </w:r>
          </w:p>
          <w:p w14:paraId="766EBF16" w14:textId="77777777" w:rsidR="00C62C41" w:rsidRPr="00D5003F" w:rsidRDefault="00C62C41">
            <w:pPr>
              <w:widowControl w:val="0"/>
              <w:pBdr>
                <w:top w:val="nil"/>
                <w:left w:val="nil"/>
                <w:bottom w:val="nil"/>
                <w:right w:val="nil"/>
                <w:between w:val="nil"/>
              </w:pBdr>
              <w:spacing w:line="240" w:lineRule="auto"/>
              <w:rPr>
                <w:rFonts w:ascii="Aptos" w:hAnsi="Aptos"/>
                <w:sz w:val="20"/>
                <w:szCs w:val="20"/>
                <w:lang w:val="en-US"/>
              </w:rPr>
            </w:pPr>
          </w:p>
        </w:tc>
      </w:tr>
      <w:tr w:rsidR="00C62C41" w:rsidRPr="00DF1C2E" w14:paraId="4220EEA6" w14:textId="77777777">
        <w:trPr>
          <w:jc w:val="center"/>
        </w:trPr>
        <w:tc>
          <w:tcPr>
            <w:tcW w:w="1449" w:type="dxa"/>
            <w:tcMar>
              <w:top w:w="100" w:type="dxa"/>
              <w:left w:w="100" w:type="dxa"/>
              <w:bottom w:w="100" w:type="dxa"/>
              <w:right w:w="100" w:type="dxa"/>
            </w:tcMar>
          </w:tcPr>
          <w:p w14:paraId="1D10B966" w14:textId="77777777" w:rsidR="00C62C41" w:rsidRPr="00D5003F" w:rsidRDefault="00B35C73">
            <w:pPr>
              <w:widowControl w:val="0"/>
              <w:spacing w:line="240" w:lineRule="auto"/>
              <w:rPr>
                <w:rFonts w:ascii="Aptos" w:hAnsi="Aptos"/>
                <w:sz w:val="20"/>
                <w:szCs w:val="20"/>
              </w:rPr>
            </w:pPr>
            <w:r w:rsidRPr="00D5003F">
              <w:rPr>
                <w:rFonts w:ascii="Aptos" w:hAnsi="Aptos"/>
                <w:sz w:val="20"/>
                <w:szCs w:val="20"/>
              </w:rPr>
              <w:t>Peeken_PS85</w:t>
            </w:r>
          </w:p>
          <w:p w14:paraId="25A53727" w14:textId="77777777" w:rsidR="00C62C41" w:rsidRPr="00D5003F" w:rsidRDefault="00B35C73">
            <w:pPr>
              <w:widowControl w:val="0"/>
              <w:spacing w:line="240" w:lineRule="auto"/>
              <w:rPr>
                <w:rFonts w:ascii="Aptos" w:hAnsi="Aptos"/>
                <w:sz w:val="20"/>
                <w:szCs w:val="20"/>
              </w:rPr>
            </w:pPr>
            <w:r w:rsidRPr="00D5003F">
              <w:rPr>
                <w:rFonts w:ascii="Aptos" w:hAnsi="Aptos"/>
                <w:sz w:val="20"/>
                <w:szCs w:val="20"/>
              </w:rPr>
              <w:t>Peeken_PS92</w:t>
            </w:r>
          </w:p>
          <w:p w14:paraId="4E419661" w14:textId="77777777" w:rsidR="00C62C41" w:rsidRPr="00D5003F" w:rsidRDefault="00C62C41">
            <w:pPr>
              <w:widowControl w:val="0"/>
              <w:pBdr>
                <w:top w:val="nil"/>
                <w:left w:val="nil"/>
                <w:bottom w:val="nil"/>
                <w:right w:val="nil"/>
                <w:between w:val="nil"/>
              </w:pBdr>
              <w:spacing w:line="240" w:lineRule="auto"/>
              <w:rPr>
                <w:rFonts w:ascii="Aptos" w:hAnsi="Aptos"/>
                <w:sz w:val="20"/>
                <w:szCs w:val="20"/>
              </w:rPr>
            </w:pPr>
          </w:p>
        </w:tc>
        <w:tc>
          <w:tcPr>
            <w:tcW w:w="2161" w:type="dxa"/>
            <w:tcMar>
              <w:top w:w="100" w:type="dxa"/>
              <w:left w:w="100" w:type="dxa"/>
              <w:bottom w:w="100" w:type="dxa"/>
              <w:right w:w="100" w:type="dxa"/>
            </w:tcMar>
          </w:tcPr>
          <w:p w14:paraId="4532DE74" w14:textId="77777777" w:rsidR="00C62C41" w:rsidRPr="00D5003F" w:rsidRDefault="00B35C73">
            <w:pPr>
              <w:widowControl w:val="0"/>
              <w:spacing w:line="240" w:lineRule="auto"/>
              <w:rPr>
                <w:rFonts w:ascii="Aptos" w:hAnsi="Aptos"/>
                <w:sz w:val="20"/>
                <w:szCs w:val="20"/>
                <w:lang w:val="en-US"/>
              </w:rPr>
            </w:pPr>
            <w:r w:rsidRPr="00D5003F">
              <w:rPr>
                <w:rFonts w:ascii="Aptos" w:hAnsi="Aptos"/>
                <w:sz w:val="20"/>
                <w:szCs w:val="20"/>
                <w:lang w:val="en-US"/>
              </w:rPr>
              <w:t>As Peeken_PS</w:t>
            </w:r>
            <w:proofErr w:type="gramStart"/>
            <w:r w:rsidRPr="00D5003F">
              <w:rPr>
                <w:rFonts w:ascii="Aptos" w:hAnsi="Aptos"/>
                <w:sz w:val="20"/>
                <w:szCs w:val="20"/>
                <w:lang w:val="en-US"/>
              </w:rPr>
              <w:t>74,Peeken</w:t>
            </w:r>
            <w:proofErr w:type="gramEnd"/>
            <w:r w:rsidRPr="00D5003F">
              <w:rPr>
                <w:rFonts w:ascii="Aptos" w:hAnsi="Aptos"/>
                <w:sz w:val="20"/>
                <w:szCs w:val="20"/>
                <w:lang w:val="en-US"/>
              </w:rPr>
              <w:t>_PS76, Peeken_PS78, but Waters (600) pump was replaced by 1525 binary pump</w:t>
            </w:r>
          </w:p>
          <w:p w14:paraId="4B8CF277" w14:textId="77777777" w:rsidR="00C62C41" w:rsidRPr="00D5003F" w:rsidRDefault="00C62C41">
            <w:pPr>
              <w:widowControl w:val="0"/>
              <w:pBdr>
                <w:top w:val="nil"/>
                <w:left w:val="nil"/>
                <w:bottom w:val="nil"/>
                <w:right w:val="nil"/>
                <w:between w:val="nil"/>
              </w:pBdr>
              <w:spacing w:line="240" w:lineRule="auto"/>
              <w:rPr>
                <w:rFonts w:ascii="Aptos" w:hAnsi="Aptos"/>
                <w:sz w:val="20"/>
                <w:szCs w:val="20"/>
                <w:lang w:val="en-US"/>
              </w:rPr>
            </w:pPr>
          </w:p>
        </w:tc>
        <w:tc>
          <w:tcPr>
            <w:tcW w:w="1944" w:type="dxa"/>
            <w:tcMar>
              <w:top w:w="100" w:type="dxa"/>
              <w:left w:w="100" w:type="dxa"/>
              <w:bottom w:w="100" w:type="dxa"/>
              <w:right w:w="100" w:type="dxa"/>
            </w:tcMar>
          </w:tcPr>
          <w:p w14:paraId="793E8F67" w14:textId="77777777" w:rsidR="00C62C41" w:rsidRPr="00D5003F" w:rsidRDefault="00B35C73">
            <w:pPr>
              <w:widowControl w:val="0"/>
              <w:spacing w:line="240" w:lineRule="auto"/>
              <w:rPr>
                <w:rFonts w:ascii="Aptos" w:hAnsi="Aptos"/>
                <w:sz w:val="20"/>
                <w:szCs w:val="20"/>
                <w:lang w:val="en-US"/>
              </w:rPr>
            </w:pPr>
            <w:r w:rsidRPr="00D5003F">
              <w:rPr>
                <w:rFonts w:ascii="Aptos" w:hAnsi="Aptos"/>
                <w:sz w:val="20"/>
                <w:szCs w:val="20"/>
                <w:lang w:val="en-US"/>
              </w:rPr>
              <w:t>As Peeken_PS</w:t>
            </w:r>
            <w:proofErr w:type="gramStart"/>
            <w:r w:rsidRPr="00D5003F">
              <w:rPr>
                <w:rFonts w:ascii="Aptos" w:hAnsi="Aptos"/>
                <w:sz w:val="20"/>
                <w:szCs w:val="20"/>
                <w:lang w:val="en-US"/>
              </w:rPr>
              <w:t>74,Peeken</w:t>
            </w:r>
            <w:proofErr w:type="gramEnd"/>
            <w:r w:rsidRPr="00D5003F">
              <w:rPr>
                <w:rFonts w:ascii="Aptos" w:hAnsi="Aptos"/>
                <w:sz w:val="20"/>
                <w:szCs w:val="20"/>
                <w:lang w:val="en-US"/>
              </w:rPr>
              <w:t>_PS76, Peeken_PS78</w:t>
            </w:r>
          </w:p>
          <w:p w14:paraId="701049E4" w14:textId="77777777" w:rsidR="00C62C41" w:rsidRPr="00D5003F" w:rsidRDefault="00C62C41">
            <w:pPr>
              <w:widowControl w:val="0"/>
              <w:pBdr>
                <w:top w:val="nil"/>
                <w:left w:val="nil"/>
                <w:bottom w:val="nil"/>
                <w:right w:val="nil"/>
                <w:between w:val="nil"/>
              </w:pBdr>
              <w:spacing w:line="240" w:lineRule="auto"/>
              <w:rPr>
                <w:rFonts w:ascii="Aptos" w:hAnsi="Aptos"/>
                <w:sz w:val="20"/>
                <w:szCs w:val="20"/>
                <w:lang w:val="en-US"/>
              </w:rPr>
            </w:pPr>
          </w:p>
        </w:tc>
        <w:tc>
          <w:tcPr>
            <w:tcW w:w="1775" w:type="dxa"/>
            <w:tcMar>
              <w:top w:w="100" w:type="dxa"/>
              <w:left w:w="100" w:type="dxa"/>
              <w:bottom w:w="100" w:type="dxa"/>
              <w:right w:w="100" w:type="dxa"/>
            </w:tcMar>
          </w:tcPr>
          <w:p w14:paraId="3BEFAA30" w14:textId="77777777" w:rsidR="00C62C41" w:rsidRPr="00D5003F" w:rsidRDefault="00B35C73">
            <w:pPr>
              <w:widowControl w:val="0"/>
              <w:spacing w:line="240" w:lineRule="auto"/>
              <w:rPr>
                <w:rFonts w:ascii="Aptos" w:hAnsi="Aptos"/>
                <w:sz w:val="20"/>
                <w:szCs w:val="20"/>
                <w:lang w:val="en-US"/>
              </w:rPr>
            </w:pPr>
            <w:r w:rsidRPr="00D5003F">
              <w:rPr>
                <w:rFonts w:ascii="Aptos" w:hAnsi="Aptos"/>
                <w:sz w:val="20"/>
                <w:szCs w:val="20"/>
                <w:lang w:val="en-US"/>
              </w:rPr>
              <w:t>As Peeken_PS</w:t>
            </w:r>
            <w:proofErr w:type="gramStart"/>
            <w:r w:rsidRPr="00D5003F">
              <w:rPr>
                <w:rFonts w:ascii="Aptos" w:hAnsi="Aptos"/>
                <w:sz w:val="20"/>
                <w:szCs w:val="20"/>
                <w:lang w:val="en-US"/>
              </w:rPr>
              <w:t>74,Peeken</w:t>
            </w:r>
            <w:proofErr w:type="gramEnd"/>
            <w:r w:rsidRPr="00D5003F">
              <w:rPr>
                <w:rFonts w:ascii="Aptos" w:hAnsi="Aptos"/>
                <w:sz w:val="20"/>
                <w:szCs w:val="20"/>
                <w:lang w:val="en-US"/>
              </w:rPr>
              <w:t>_PS76, Peeken_PS78</w:t>
            </w:r>
          </w:p>
          <w:p w14:paraId="7460BEBD" w14:textId="77777777" w:rsidR="00C62C41" w:rsidRPr="00D5003F" w:rsidRDefault="00C62C41">
            <w:pPr>
              <w:widowControl w:val="0"/>
              <w:pBdr>
                <w:top w:val="nil"/>
                <w:left w:val="nil"/>
                <w:bottom w:val="nil"/>
                <w:right w:val="nil"/>
                <w:between w:val="nil"/>
              </w:pBdr>
              <w:spacing w:line="240" w:lineRule="auto"/>
              <w:rPr>
                <w:rFonts w:ascii="Aptos" w:hAnsi="Aptos"/>
                <w:sz w:val="20"/>
                <w:szCs w:val="20"/>
                <w:lang w:val="en-US"/>
              </w:rPr>
            </w:pPr>
          </w:p>
        </w:tc>
        <w:tc>
          <w:tcPr>
            <w:tcW w:w="1775" w:type="dxa"/>
            <w:tcMar>
              <w:top w:w="100" w:type="dxa"/>
              <w:left w:w="100" w:type="dxa"/>
              <w:bottom w:w="100" w:type="dxa"/>
              <w:right w:w="100" w:type="dxa"/>
            </w:tcMar>
          </w:tcPr>
          <w:p w14:paraId="3E82478E" w14:textId="77777777" w:rsidR="00C62C41" w:rsidRPr="00D5003F" w:rsidRDefault="00B35C73">
            <w:pPr>
              <w:widowControl w:val="0"/>
              <w:spacing w:line="240" w:lineRule="auto"/>
              <w:rPr>
                <w:rFonts w:ascii="Aptos" w:hAnsi="Aptos"/>
                <w:sz w:val="20"/>
                <w:szCs w:val="20"/>
                <w:lang w:val="en-US"/>
              </w:rPr>
            </w:pPr>
            <w:r w:rsidRPr="00D5003F">
              <w:rPr>
                <w:rFonts w:ascii="Aptos" w:hAnsi="Aptos"/>
                <w:sz w:val="20"/>
                <w:szCs w:val="20"/>
                <w:lang w:val="en-US"/>
              </w:rPr>
              <w:t>As Peeken_PS</w:t>
            </w:r>
            <w:proofErr w:type="gramStart"/>
            <w:r w:rsidRPr="00D5003F">
              <w:rPr>
                <w:rFonts w:ascii="Aptos" w:hAnsi="Aptos"/>
                <w:sz w:val="20"/>
                <w:szCs w:val="20"/>
                <w:lang w:val="en-US"/>
              </w:rPr>
              <w:t>74,Peeken</w:t>
            </w:r>
            <w:proofErr w:type="gramEnd"/>
            <w:r w:rsidRPr="00D5003F">
              <w:rPr>
                <w:rFonts w:ascii="Aptos" w:hAnsi="Aptos"/>
                <w:sz w:val="20"/>
                <w:szCs w:val="20"/>
                <w:lang w:val="en-US"/>
              </w:rPr>
              <w:t>_PS76, Peeken_PS78</w:t>
            </w:r>
          </w:p>
          <w:p w14:paraId="26FFE5D5" w14:textId="77777777" w:rsidR="00C62C41" w:rsidRPr="00D5003F" w:rsidRDefault="00C62C41">
            <w:pPr>
              <w:widowControl w:val="0"/>
              <w:pBdr>
                <w:top w:val="nil"/>
                <w:left w:val="nil"/>
                <w:bottom w:val="nil"/>
                <w:right w:val="nil"/>
                <w:between w:val="nil"/>
              </w:pBdr>
              <w:spacing w:line="240" w:lineRule="auto"/>
              <w:rPr>
                <w:rFonts w:ascii="Aptos" w:hAnsi="Aptos"/>
                <w:sz w:val="20"/>
                <w:szCs w:val="20"/>
                <w:lang w:val="en-US"/>
              </w:rPr>
            </w:pPr>
          </w:p>
        </w:tc>
      </w:tr>
      <w:tr w:rsidR="00DF1C2E" w:rsidRPr="00DF1C2E" w14:paraId="39387EFC" w14:textId="77777777">
        <w:trPr>
          <w:jc w:val="center"/>
        </w:trPr>
        <w:tc>
          <w:tcPr>
            <w:tcW w:w="1449" w:type="dxa"/>
            <w:tcMar>
              <w:top w:w="100" w:type="dxa"/>
              <w:left w:w="100" w:type="dxa"/>
              <w:bottom w:w="100" w:type="dxa"/>
              <w:right w:w="100" w:type="dxa"/>
            </w:tcMar>
          </w:tcPr>
          <w:p w14:paraId="053763AF" w14:textId="2B82EF87" w:rsidR="00DF1C2E" w:rsidRPr="00D5003F" w:rsidRDefault="00146B91">
            <w:pPr>
              <w:widowControl w:val="0"/>
              <w:spacing w:line="240" w:lineRule="auto"/>
              <w:rPr>
                <w:rFonts w:ascii="Aptos" w:hAnsi="Aptos"/>
                <w:sz w:val="20"/>
                <w:szCs w:val="20"/>
              </w:rPr>
            </w:pPr>
            <w:proofErr w:type="spellStart"/>
            <w:r>
              <w:rPr>
                <w:rFonts w:ascii="Aptos" w:hAnsi="Aptos"/>
                <w:sz w:val="20"/>
                <w:szCs w:val="20"/>
              </w:rPr>
              <w:t>MOSAiC</w:t>
            </w:r>
            <w:proofErr w:type="spellEnd"/>
            <w:r>
              <w:rPr>
                <w:rFonts w:ascii="Aptos" w:hAnsi="Aptos"/>
                <w:sz w:val="20"/>
                <w:szCs w:val="20"/>
              </w:rPr>
              <w:t xml:space="preserve"> (PS122)</w:t>
            </w:r>
          </w:p>
        </w:tc>
        <w:tc>
          <w:tcPr>
            <w:tcW w:w="2161" w:type="dxa"/>
            <w:tcMar>
              <w:top w:w="100" w:type="dxa"/>
              <w:left w:w="100" w:type="dxa"/>
              <w:bottom w:w="100" w:type="dxa"/>
              <w:right w:w="100" w:type="dxa"/>
            </w:tcMar>
          </w:tcPr>
          <w:p w14:paraId="51B4C314" w14:textId="77777777" w:rsidR="008334D5" w:rsidRPr="00D5003F" w:rsidRDefault="008334D5" w:rsidP="008334D5">
            <w:pPr>
              <w:widowControl w:val="0"/>
              <w:spacing w:line="240" w:lineRule="auto"/>
              <w:rPr>
                <w:rFonts w:ascii="Aptos" w:hAnsi="Aptos"/>
                <w:sz w:val="20"/>
                <w:szCs w:val="20"/>
                <w:lang w:val="en-US"/>
              </w:rPr>
            </w:pPr>
            <w:r w:rsidRPr="00D5003F">
              <w:rPr>
                <w:rFonts w:ascii="Aptos" w:hAnsi="Aptos"/>
                <w:sz w:val="20"/>
                <w:szCs w:val="20"/>
                <w:lang w:val="en-US"/>
              </w:rPr>
              <w:t>As Peeken_PS</w:t>
            </w:r>
            <w:proofErr w:type="gramStart"/>
            <w:r w:rsidRPr="00D5003F">
              <w:rPr>
                <w:rFonts w:ascii="Aptos" w:hAnsi="Aptos"/>
                <w:sz w:val="20"/>
                <w:szCs w:val="20"/>
                <w:lang w:val="en-US"/>
              </w:rPr>
              <w:t>74,Peeken</w:t>
            </w:r>
            <w:proofErr w:type="gramEnd"/>
            <w:r w:rsidRPr="00D5003F">
              <w:rPr>
                <w:rFonts w:ascii="Aptos" w:hAnsi="Aptos"/>
                <w:sz w:val="20"/>
                <w:szCs w:val="20"/>
                <w:lang w:val="en-US"/>
              </w:rPr>
              <w:t>_PS76, Peeken_PS78</w:t>
            </w:r>
          </w:p>
          <w:p w14:paraId="38F7DBA9" w14:textId="08A8E062" w:rsidR="00DF1C2E" w:rsidRPr="00D5003F" w:rsidRDefault="00DF1C2E">
            <w:pPr>
              <w:widowControl w:val="0"/>
              <w:spacing w:line="240" w:lineRule="auto"/>
              <w:rPr>
                <w:rFonts w:ascii="Aptos" w:hAnsi="Aptos"/>
                <w:sz w:val="20"/>
                <w:szCs w:val="20"/>
                <w:lang w:val="en-US"/>
              </w:rPr>
            </w:pPr>
          </w:p>
        </w:tc>
        <w:tc>
          <w:tcPr>
            <w:tcW w:w="1944" w:type="dxa"/>
            <w:tcMar>
              <w:top w:w="100" w:type="dxa"/>
              <w:left w:w="100" w:type="dxa"/>
              <w:bottom w:w="100" w:type="dxa"/>
              <w:right w:w="100" w:type="dxa"/>
            </w:tcMar>
          </w:tcPr>
          <w:p w14:paraId="17B2A6E2" w14:textId="6068F290" w:rsidR="00DF1C2E" w:rsidRPr="00D5003F" w:rsidRDefault="008334D5">
            <w:pPr>
              <w:widowControl w:val="0"/>
              <w:spacing w:line="240" w:lineRule="auto"/>
              <w:rPr>
                <w:rFonts w:ascii="Aptos" w:hAnsi="Aptos"/>
                <w:sz w:val="20"/>
                <w:szCs w:val="20"/>
                <w:lang w:val="en-US"/>
              </w:rPr>
            </w:pPr>
            <w:r>
              <w:rPr>
                <w:rFonts w:ascii="Aptos" w:hAnsi="Aptos"/>
                <w:sz w:val="20"/>
                <w:szCs w:val="20"/>
                <w:lang w:val="en-US"/>
              </w:rPr>
              <w:t xml:space="preserve">Prior to </w:t>
            </w:r>
            <w:proofErr w:type="gramStart"/>
            <w:r w:rsidR="00E359EF">
              <w:rPr>
                <w:rFonts w:ascii="Aptos" w:hAnsi="Aptos"/>
                <w:sz w:val="20"/>
                <w:szCs w:val="20"/>
                <w:lang w:val="en-US"/>
              </w:rPr>
              <w:t>extraction</w:t>
            </w:r>
            <w:r>
              <w:rPr>
                <w:rFonts w:ascii="Aptos" w:hAnsi="Aptos"/>
                <w:sz w:val="20"/>
                <w:szCs w:val="20"/>
                <w:lang w:val="en-US"/>
              </w:rPr>
              <w:t xml:space="preserve"> according</w:t>
            </w:r>
            <w:proofErr w:type="gramEnd"/>
            <w:r>
              <w:rPr>
                <w:rFonts w:ascii="Aptos" w:hAnsi="Aptos"/>
                <w:sz w:val="20"/>
                <w:szCs w:val="20"/>
                <w:lang w:val="en-US"/>
              </w:rPr>
              <w:t xml:space="preserve"> </w:t>
            </w:r>
            <w:proofErr w:type="gramStart"/>
            <w:r>
              <w:rPr>
                <w:rFonts w:ascii="Aptos" w:hAnsi="Aptos"/>
                <w:sz w:val="20"/>
                <w:szCs w:val="20"/>
                <w:lang w:val="en-US"/>
              </w:rPr>
              <w:t>to</w:t>
            </w:r>
            <w:proofErr w:type="gramEnd"/>
            <w:r>
              <w:rPr>
                <w:rFonts w:ascii="Aptos" w:hAnsi="Aptos"/>
                <w:sz w:val="20"/>
                <w:szCs w:val="20"/>
                <w:lang w:val="en-US"/>
              </w:rPr>
              <w:t xml:space="preserve"> </w:t>
            </w:r>
            <w:r w:rsidRPr="00D5003F">
              <w:rPr>
                <w:rFonts w:ascii="Aptos" w:hAnsi="Aptos"/>
                <w:sz w:val="20"/>
                <w:szCs w:val="20"/>
                <w:lang w:val="en-US"/>
              </w:rPr>
              <w:t>As Peeken_PS</w:t>
            </w:r>
            <w:proofErr w:type="gramStart"/>
            <w:r w:rsidRPr="00D5003F">
              <w:rPr>
                <w:rFonts w:ascii="Aptos" w:hAnsi="Aptos"/>
                <w:sz w:val="20"/>
                <w:szCs w:val="20"/>
                <w:lang w:val="en-US"/>
              </w:rPr>
              <w:t>74,Peeken</w:t>
            </w:r>
            <w:proofErr w:type="gramEnd"/>
            <w:r w:rsidRPr="00D5003F">
              <w:rPr>
                <w:rFonts w:ascii="Aptos" w:hAnsi="Aptos"/>
                <w:sz w:val="20"/>
                <w:szCs w:val="20"/>
                <w:lang w:val="en-US"/>
              </w:rPr>
              <w:t>_PS76, Peeken_PS78</w:t>
            </w:r>
            <w:r>
              <w:rPr>
                <w:rFonts w:ascii="Aptos" w:hAnsi="Aptos"/>
                <w:sz w:val="20"/>
                <w:szCs w:val="20"/>
                <w:lang w:val="en-US"/>
              </w:rPr>
              <w:t>, filters were freeze-dried at -55</w:t>
            </w:r>
            <w:r w:rsidR="00E359EF" w:rsidRPr="00E359EF">
              <w:rPr>
                <w:rFonts w:ascii="Aptos" w:hAnsi="Aptos"/>
                <w:sz w:val="20"/>
                <w:szCs w:val="20"/>
                <w:lang w:val="en-US"/>
              </w:rPr>
              <w:t>°</w:t>
            </w:r>
            <w:r w:rsidR="00E359EF">
              <w:rPr>
                <w:rFonts w:ascii="Aptos" w:hAnsi="Aptos"/>
                <w:sz w:val="20"/>
                <w:szCs w:val="20"/>
                <w:lang w:val="en-US"/>
              </w:rPr>
              <w:t>C</w:t>
            </w:r>
            <w:r>
              <w:rPr>
                <w:rFonts w:ascii="Aptos" w:hAnsi="Aptos"/>
                <w:sz w:val="20"/>
                <w:szCs w:val="20"/>
                <w:lang w:val="en-US"/>
              </w:rPr>
              <w:t xml:space="preserve"> for 48h. </w:t>
            </w:r>
          </w:p>
        </w:tc>
        <w:tc>
          <w:tcPr>
            <w:tcW w:w="1775" w:type="dxa"/>
            <w:tcMar>
              <w:top w:w="100" w:type="dxa"/>
              <w:left w:w="100" w:type="dxa"/>
              <w:bottom w:w="100" w:type="dxa"/>
              <w:right w:w="100" w:type="dxa"/>
            </w:tcMar>
          </w:tcPr>
          <w:p w14:paraId="3BB8E054" w14:textId="1ACF1642" w:rsidR="00DF1C2E" w:rsidRPr="00D5003F" w:rsidRDefault="00E359EF">
            <w:pPr>
              <w:widowControl w:val="0"/>
              <w:spacing w:line="240" w:lineRule="auto"/>
              <w:rPr>
                <w:rFonts w:ascii="Aptos" w:hAnsi="Aptos"/>
                <w:sz w:val="20"/>
                <w:szCs w:val="20"/>
                <w:lang w:val="en-US"/>
              </w:rPr>
            </w:pPr>
            <w:r>
              <w:rPr>
                <w:rFonts w:ascii="Aptos" w:hAnsi="Aptos"/>
                <w:sz w:val="20"/>
                <w:szCs w:val="20"/>
                <w:lang w:val="en-US"/>
              </w:rPr>
              <w:t>Freeze-drying (FD) significantly and equally improves the extraction efficiency of all pigments. An additional benefit of freeze-drying</w:t>
            </w:r>
            <w:r w:rsidR="008C4FAC">
              <w:rPr>
                <w:rFonts w:ascii="Aptos" w:hAnsi="Aptos"/>
                <w:sz w:val="20"/>
                <w:szCs w:val="20"/>
                <w:lang w:val="en-US"/>
              </w:rPr>
              <w:t xml:space="preserve"> is that it improves the reproducibility </w:t>
            </w:r>
            <w:r w:rsidR="008C4FAC">
              <w:rPr>
                <w:rFonts w:ascii="Aptos" w:hAnsi="Aptos"/>
                <w:sz w:val="20"/>
                <w:szCs w:val="20"/>
                <w:lang w:val="en-US"/>
              </w:rPr>
              <w:lastRenderedPageBreak/>
              <w:t>of the extraction procedure, especially when multiple people are involved in collecting samples.</w:t>
            </w:r>
          </w:p>
        </w:tc>
        <w:tc>
          <w:tcPr>
            <w:tcW w:w="1775" w:type="dxa"/>
            <w:tcMar>
              <w:top w:w="100" w:type="dxa"/>
              <w:left w:w="100" w:type="dxa"/>
              <w:bottom w:w="100" w:type="dxa"/>
              <w:right w:w="100" w:type="dxa"/>
            </w:tcMar>
          </w:tcPr>
          <w:p w14:paraId="3E82C125" w14:textId="5537810A" w:rsidR="00DF1C2E" w:rsidRPr="00D5003F" w:rsidRDefault="005F4AEE">
            <w:pPr>
              <w:widowControl w:val="0"/>
              <w:spacing w:line="240" w:lineRule="auto"/>
              <w:rPr>
                <w:rFonts w:ascii="Aptos" w:hAnsi="Aptos"/>
                <w:sz w:val="20"/>
                <w:szCs w:val="20"/>
                <w:lang w:val="en-US"/>
              </w:rPr>
            </w:pPr>
            <w:r>
              <w:rPr>
                <w:rFonts w:ascii="Aptos" w:hAnsi="Aptos"/>
                <w:sz w:val="20"/>
                <w:szCs w:val="20"/>
                <w:lang w:val="en-US"/>
              </w:rPr>
              <w:lastRenderedPageBreak/>
              <w:fldChar w:fldCharType="begin"/>
            </w:r>
            <w:r>
              <w:rPr>
                <w:rFonts w:ascii="Aptos" w:hAnsi="Aptos"/>
                <w:sz w:val="20"/>
                <w:szCs w:val="20"/>
                <w:lang w:val="en-US"/>
              </w:rPr>
              <w:instrText xml:space="preserve"> ADDIN ZOTERO_ITEM CSL_CITATION {"citationID":"wPzT7BuG","properties":{"formattedCitation":"(van Leeuwe et al., 2006)","plainCitation":"(van Leeuwe et al., 2006)","noteIndex":0},"citationItems":[{"id":2680,"uris":["http://zotero.org/users/13776053/items/5ZNKKYVL"],"itemData":{"id":2680,"type":"article-journal","abstract":"A recent development in algal pigment analysis by high-performance liquid chromatography (HPLC) is the application of automation. An optimization of a complete sampling and analysis protocol applied specifically in automation has not yet been performed. In this paper we show that automation can only be successful if the various methodological aspects of the sampling and analysis protocol are considered in coherence. We introduce an optimized protocol that involves freeze-drying of the sample, subsequent extraction in 90% acetone and the application of water-packing during analysis. The method was evaluated on both natural plankton populations and a broad spectrum of microalgal cultures: Thalassiosira weisflogii (Bacillariophyceae), Emiliania huxleyi (Prymnesiophyceae), Phaeocystis globosa and Phaeocystis antarctica (Prymnesiophyceae) and Pyramimonas sp. (Prasinophyceae). Whereas pigment extracts were unstable in methanol, with recorded chlorophyll a losses from 10% to 60% per day, pigment degradation rates in acetone were generally less than 1% over 18 h storage in the autosampler (4 °C). In addition, it was found that the extraction efficiency of acetone significantly increased upon freeze-drying prior to extraction. Increases as high as 50–60% were measured in P. antarctica. The application of water-packing of the sample during injection resulted in improved peak shape and peak separation, without diluting the pigment concentrations. Automation is especially beneficial for application in the field, when mixed algal assemblages and low biomass put a high demand on the sensitivity as well as reproducibility of the method.","container-title":"Marine Chemistry","DOI":"10.1016/j.marchem.2006.05.003","ISSN":"0304-4203","issue":"3","journalAbbreviation":"Marine Chemistry","page":"267-275","source":"ScienceDirect","title":"An optimized method for automated analysis of algal pigments by HPLC","volume":"102","author":[{"family":"Leeuwe","given":"M. A.","non-dropping-particle":"van"},{"family":"Villerius","given":"L. A."},{"family":"Roggeveld","given":"J."},{"family":"Visser","given":"R. J. W."},{"family":"Stefels","given":"J."}],"issued":{"date-parts":[["2006",12,5]]}}}],"schema":"https://github.com/citation-style-language/schema/raw/master/csl-citation.json"} </w:instrText>
            </w:r>
            <w:r>
              <w:rPr>
                <w:rFonts w:ascii="Aptos" w:hAnsi="Aptos"/>
                <w:sz w:val="20"/>
                <w:szCs w:val="20"/>
                <w:lang w:val="en-US"/>
              </w:rPr>
              <w:fldChar w:fldCharType="separate"/>
            </w:r>
            <w:r w:rsidRPr="005F4AEE">
              <w:rPr>
                <w:rFonts w:ascii="Aptos" w:hAnsi="Aptos"/>
                <w:sz w:val="20"/>
                <w:lang w:val="en-US"/>
              </w:rPr>
              <w:t xml:space="preserve">(van </w:t>
            </w:r>
            <w:proofErr w:type="spellStart"/>
            <w:r w:rsidRPr="005F4AEE">
              <w:rPr>
                <w:rFonts w:ascii="Aptos" w:hAnsi="Aptos"/>
                <w:sz w:val="20"/>
                <w:lang w:val="en-US"/>
              </w:rPr>
              <w:t>Leeuwe</w:t>
            </w:r>
            <w:proofErr w:type="spellEnd"/>
            <w:r w:rsidRPr="005F4AEE">
              <w:rPr>
                <w:rFonts w:ascii="Aptos" w:hAnsi="Aptos"/>
                <w:sz w:val="20"/>
                <w:lang w:val="en-US"/>
              </w:rPr>
              <w:t xml:space="preserve"> et al., 2006)</w:t>
            </w:r>
            <w:r>
              <w:rPr>
                <w:rFonts w:ascii="Aptos" w:hAnsi="Aptos"/>
                <w:sz w:val="20"/>
                <w:szCs w:val="20"/>
                <w:lang w:val="en-US"/>
              </w:rPr>
              <w:fldChar w:fldCharType="end"/>
            </w:r>
          </w:p>
        </w:tc>
      </w:tr>
      <w:tr w:rsidR="00C45FF4" w:rsidRPr="00C45FF4" w14:paraId="3E525577" w14:textId="77777777">
        <w:trPr>
          <w:jc w:val="center"/>
        </w:trPr>
        <w:tc>
          <w:tcPr>
            <w:tcW w:w="1449" w:type="dxa"/>
            <w:tcMar>
              <w:top w:w="100" w:type="dxa"/>
              <w:left w:w="100" w:type="dxa"/>
              <w:bottom w:w="100" w:type="dxa"/>
              <w:right w:w="100" w:type="dxa"/>
            </w:tcMar>
          </w:tcPr>
          <w:p w14:paraId="0159F903" w14:textId="37E76BAD" w:rsidR="00C45FF4" w:rsidRPr="00D5003F" w:rsidRDefault="00C45FF4">
            <w:pPr>
              <w:widowControl w:val="0"/>
              <w:spacing w:line="240" w:lineRule="auto"/>
              <w:rPr>
                <w:rFonts w:ascii="Aptos" w:hAnsi="Aptos"/>
                <w:sz w:val="20"/>
                <w:szCs w:val="20"/>
              </w:rPr>
            </w:pPr>
            <w:proofErr w:type="spellStart"/>
            <w:r>
              <w:rPr>
                <w:rFonts w:ascii="Aptos" w:hAnsi="Aptos"/>
                <w:sz w:val="20"/>
                <w:szCs w:val="20"/>
              </w:rPr>
              <w:t>B</w:t>
            </w:r>
            <w:r w:rsidR="00D7763F">
              <w:rPr>
                <w:rFonts w:ascii="Aptos" w:hAnsi="Aptos"/>
                <w:sz w:val="20"/>
                <w:szCs w:val="20"/>
              </w:rPr>
              <w:t>aysys</w:t>
            </w:r>
            <w:proofErr w:type="spellEnd"/>
          </w:p>
        </w:tc>
        <w:tc>
          <w:tcPr>
            <w:tcW w:w="2161" w:type="dxa"/>
            <w:tcMar>
              <w:top w:w="100" w:type="dxa"/>
              <w:left w:w="100" w:type="dxa"/>
              <w:bottom w:w="100" w:type="dxa"/>
              <w:right w:w="100" w:type="dxa"/>
            </w:tcMar>
          </w:tcPr>
          <w:p w14:paraId="73B2895B" w14:textId="77777777" w:rsidR="00C45FF4" w:rsidRPr="00D5003F" w:rsidRDefault="00C45FF4">
            <w:pPr>
              <w:widowControl w:val="0"/>
              <w:spacing w:line="240" w:lineRule="auto"/>
              <w:rPr>
                <w:rFonts w:ascii="Aptos" w:hAnsi="Aptos"/>
                <w:sz w:val="20"/>
                <w:szCs w:val="20"/>
                <w:lang w:val="en-US"/>
              </w:rPr>
            </w:pPr>
          </w:p>
        </w:tc>
        <w:tc>
          <w:tcPr>
            <w:tcW w:w="1944" w:type="dxa"/>
            <w:tcMar>
              <w:top w:w="100" w:type="dxa"/>
              <w:left w:w="100" w:type="dxa"/>
              <w:bottom w:w="100" w:type="dxa"/>
              <w:right w:w="100" w:type="dxa"/>
            </w:tcMar>
          </w:tcPr>
          <w:p w14:paraId="234C5AC7" w14:textId="77777777" w:rsidR="00C45FF4" w:rsidRPr="00D5003F" w:rsidRDefault="00C45FF4">
            <w:pPr>
              <w:widowControl w:val="0"/>
              <w:spacing w:line="240" w:lineRule="auto"/>
              <w:rPr>
                <w:rFonts w:ascii="Aptos" w:hAnsi="Aptos"/>
                <w:sz w:val="20"/>
                <w:szCs w:val="20"/>
                <w:lang w:val="en-US"/>
              </w:rPr>
            </w:pPr>
          </w:p>
        </w:tc>
        <w:tc>
          <w:tcPr>
            <w:tcW w:w="1775" w:type="dxa"/>
            <w:tcMar>
              <w:top w:w="100" w:type="dxa"/>
              <w:left w:w="100" w:type="dxa"/>
              <w:bottom w:w="100" w:type="dxa"/>
              <w:right w:w="100" w:type="dxa"/>
            </w:tcMar>
          </w:tcPr>
          <w:p w14:paraId="434346E8" w14:textId="77777777" w:rsidR="00C45FF4" w:rsidRPr="00D5003F" w:rsidRDefault="00C45FF4">
            <w:pPr>
              <w:widowControl w:val="0"/>
              <w:spacing w:line="240" w:lineRule="auto"/>
              <w:rPr>
                <w:rFonts w:ascii="Aptos" w:hAnsi="Aptos"/>
                <w:sz w:val="20"/>
                <w:szCs w:val="20"/>
                <w:lang w:val="en-US"/>
              </w:rPr>
            </w:pPr>
          </w:p>
        </w:tc>
        <w:tc>
          <w:tcPr>
            <w:tcW w:w="1775" w:type="dxa"/>
            <w:tcMar>
              <w:top w:w="100" w:type="dxa"/>
              <w:left w:w="100" w:type="dxa"/>
              <w:bottom w:w="100" w:type="dxa"/>
              <w:right w:w="100" w:type="dxa"/>
            </w:tcMar>
          </w:tcPr>
          <w:p w14:paraId="6F75EA5E" w14:textId="3F9567B3" w:rsidR="00C45FF4" w:rsidRDefault="00066A26">
            <w:pPr>
              <w:widowControl w:val="0"/>
              <w:spacing w:line="240" w:lineRule="auto"/>
              <w:rPr>
                <w:rFonts w:ascii="Aptos" w:hAnsi="Aptos"/>
                <w:sz w:val="20"/>
                <w:szCs w:val="20"/>
                <w:lang w:val="en-US"/>
              </w:rPr>
            </w:pPr>
            <w:r>
              <w:rPr>
                <w:rFonts w:ascii="Aptos" w:hAnsi="Aptos"/>
                <w:sz w:val="20"/>
                <w:szCs w:val="20"/>
                <w:lang w:val="en-US"/>
              </w:rPr>
              <w:t>Page 105-106</w:t>
            </w:r>
            <w:r w:rsidR="00D41E20">
              <w:rPr>
                <w:rFonts w:ascii="Aptos" w:hAnsi="Aptos"/>
                <w:sz w:val="20"/>
                <w:szCs w:val="20"/>
                <w:lang w:val="en-US"/>
              </w:rPr>
              <w:t xml:space="preserve"> </w:t>
            </w:r>
            <w:r w:rsidR="00D41E20">
              <w:rPr>
                <w:rFonts w:ascii="Aptos" w:hAnsi="Aptos"/>
                <w:sz w:val="20"/>
                <w:szCs w:val="20"/>
                <w:lang w:val="en-US"/>
              </w:rPr>
              <w:fldChar w:fldCharType="begin"/>
            </w:r>
            <w:r w:rsidR="00D41E20">
              <w:rPr>
                <w:rFonts w:ascii="Aptos" w:hAnsi="Aptos"/>
                <w:sz w:val="20"/>
                <w:szCs w:val="20"/>
                <w:lang w:val="en-US"/>
              </w:rPr>
              <w:instrText xml:space="preserve"> ADDIN ZOTERO_ITEM CSL_CITATION {"citationID":"dqHrexe8","properties":{"formattedCitation":"(Matthes, 2021)","plainCitation":"(Matthes, 2021)","noteIndex":0},"citationItems":[{"id":2636,"uris":["http://zotero.org/users/13776053/items/AZQU75QS"],"itemData":{"id":2636,"type":"thesis","title":"Light propagation in ice-covered environments: Seasonal progression and biological implications","URL":"https://mspace.lib.umanitoba.ca/server/api/core/bitstreams/9887d112-bc58-481f-996b-d6fa7d507493/content","author":[{"family":"Matthes","given":"Lisa C."}],"issued":{"date-parts":[["2021"]]}}}],"schema":"https://github.com/citation-style-language/schema/raw/master/csl-citation.json"} </w:instrText>
            </w:r>
            <w:r w:rsidR="00D41E20">
              <w:rPr>
                <w:rFonts w:ascii="Aptos" w:hAnsi="Aptos"/>
                <w:sz w:val="20"/>
                <w:szCs w:val="20"/>
                <w:lang w:val="en-US"/>
              </w:rPr>
              <w:fldChar w:fldCharType="separate"/>
            </w:r>
            <w:r w:rsidR="00D41E20" w:rsidRPr="00D41E20">
              <w:rPr>
                <w:rFonts w:ascii="Aptos" w:hAnsi="Aptos"/>
                <w:sz w:val="20"/>
                <w:lang w:val="en-US"/>
              </w:rPr>
              <w:t>(Matthes, 2021)</w:t>
            </w:r>
            <w:r w:rsidR="00D41E20">
              <w:rPr>
                <w:rFonts w:ascii="Aptos" w:hAnsi="Aptos"/>
                <w:sz w:val="20"/>
                <w:szCs w:val="20"/>
                <w:lang w:val="en-US"/>
              </w:rPr>
              <w:fldChar w:fldCharType="end"/>
            </w:r>
          </w:p>
          <w:p w14:paraId="0703F81E" w14:textId="59F105F5" w:rsidR="00066A26" w:rsidRPr="00D5003F" w:rsidRDefault="00066A26">
            <w:pPr>
              <w:widowControl w:val="0"/>
              <w:spacing w:line="240" w:lineRule="auto"/>
              <w:rPr>
                <w:rFonts w:ascii="Aptos" w:hAnsi="Aptos"/>
                <w:sz w:val="20"/>
                <w:szCs w:val="20"/>
                <w:lang w:val="en-US"/>
              </w:rPr>
            </w:pPr>
          </w:p>
        </w:tc>
      </w:tr>
    </w:tbl>
    <w:p w14:paraId="1323D657" w14:textId="77777777" w:rsidR="00C62C41" w:rsidRDefault="00C62C41">
      <w:pPr>
        <w:rPr>
          <w:lang w:val="en-US"/>
        </w:rPr>
      </w:pPr>
    </w:p>
    <w:p w14:paraId="32F71F64" w14:textId="77777777" w:rsidR="00787C1E" w:rsidRDefault="00787C1E">
      <w:pPr>
        <w:rPr>
          <w:lang w:val="en-US"/>
        </w:rPr>
      </w:pPr>
    </w:p>
    <w:p w14:paraId="2CF55743" w14:textId="77777777" w:rsidR="00787C1E" w:rsidRDefault="00787C1E">
      <w:pPr>
        <w:rPr>
          <w:lang w:val="en-US"/>
        </w:rPr>
      </w:pPr>
    </w:p>
    <w:p w14:paraId="23E0B199" w14:textId="77777777" w:rsidR="00D41E20" w:rsidRDefault="00D41E20">
      <w:pPr>
        <w:rPr>
          <w:lang w:val="en-US"/>
        </w:rPr>
      </w:pPr>
    </w:p>
    <w:p w14:paraId="5E9CA002" w14:textId="77777777" w:rsidR="00D41E20" w:rsidRDefault="00D41E20">
      <w:pPr>
        <w:rPr>
          <w:lang w:val="en-US"/>
        </w:rPr>
      </w:pPr>
    </w:p>
    <w:p w14:paraId="2E1FB4EB" w14:textId="77777777" w:rsidR="00D41E20" w:rsidRDefault="00D41E20">
      <w:pPr>
        <w:rPr>
          <w:lang w:val="en-US"/>
        </w:rPr>
      </w:pPr>
    </w:p>
    <w:p w14:paraId="7A89DE4D" w14:textId="4D7C19C4" w:rsidR="00B45C78" w:rsidRPr="00CC06C1" w:rsidRDefault="00B45C78">
      <w:pPr>
        <w:rPr>
          <w:rFonts w:ascii="Aptos" w:hAnsi="Aptos"/>
          <w:b/>
          <w:bCs/>
          <w:lang w:val="en-US"/>
        </w:rPr>
      </w:pPr>
      <w:r w:rsidRPr="00CC06C1">
        <w:rPr>
          <w:rFonts w:ascii="Aptos" w:hAnsi="Aptos"/>
          <w:b/>
          <w:bCs/>
          <w:lang w:val="en-US"/>
        </w:rPr>
        <w:t xml:space="preserve">References </w:t>
      </w:r>
    </w:p>
    <w:p w14:paraId="5B96842C" w14:textId="77777777" w:rsidR="00CC06C1" w:rsidRPr="00CC06C1" w:rsidRDefault="00CC06C1">
      <w:pPr>
        <w:rPr>
          <w:rFonts w:ascii="Aptos" w:hAnsi="Aptos"/>
          <w:lang w:val="en-US"/>
        </w:rPr>
      </w:pPr>
    </w:p>
    <w:p w14:paraId="3993BA70" w14:textId="77777777" w:rsidR="005F4AEE" w:rsidRPr="005F4AEE" w:rsidRDefault="00CC06C1" w:rsidP="005F4AEE">
      <w:pPr>
        <w:pStyle w:val="Bibliography"/>
        <w:rPr>
          <w:rFonts w:ascii="Aptos" w:hAnsi="Aptos"/>
          <w:lang w:val="en-US"/>
        </w:rPr>
      </w:pPr>
      <w:r w:rsidRPr="00CC06C1">
        <w:rPr>
          <w:rFonts w:ascii="Aptos" w:hAnsi="Aptos"/>
          <w:lang w:val="en-US"/>
        </w:rPr>
        <w:fldChar w:fldCharType="begin"/>
      </w:r>
      <w:r w:rsidR="00D41E20">
        <w:rPr>
          <w:rFonts w:ascii="Aptos" w:hAnsi="Aptos"/>
          <w:lang w:val="en-US"/>
        </w:rPr>
        <w:instrText xml:space="preserve"> ADDIN ZOTERO_BIBL {"uncited":[],"omitted":[],"custom":[]} CSL_BIBLIOGRAPHY </w:instrText>
      </w:r>
      <w:r w:rsidRPr="00CC06C1">
        <w:rPr>
          <w:rFonts w:ascii="Aptos" w:hAnsi="Aptos"/>
          <w:lang w:val="en-US"/>
        </w:rPr>
        <w:fldChar w:fldCharType="separate"/>
      </w:r>
      <w:r w:rsidR="005F4AEE" w:rsidRPr="005F4AEE">
        <w:rPr>
          <w:rFonts w:ascii="Aptos" w:hAnsi="Aptos"/>
          <w:lang w:val="en-US"/>
        </w:rPr>
        <w:t>Aiken, J., Pradhan, Y., Barlow, R., Lavender, S., Poulton, A., Holligan, P., and Hardman-Mountford, N.: Phytoplankton pigments and functional types in the Atlantic Ocean: A decadal assessment, 1995–2005, Deep Sea Res. Part II Top. Stud. Oceanogr., 56, 899–917, https://doi.org/10.1016/j.dsr2.2008.09.017, 2009.</w:t>
      </w:r>
    </w:p>
    <w:p w14:paraId="7364302E" w14:textId="77777777" w:rsidR="005F4AEE" w:rsidRPr="005F4AEE" w:rsidRDefault="005F4AEE" w:rsidP="005F4AEE">
      <w:pPr>
        <w:pStyle w:val="Bibliography"/>
        <w:rPr>
          <w:rFonts w:ascii="Aptos" w:hAnsi="Aptos"/>
          <w:lang w:val="en-US"/>
        </w:rPr>
      </w:pPr>
      <w:r w:rsidRPr="005F4AEE">
        <w:rPr>
          <w:rFonts w:ascii="Aptos" w:hAnsi="Aptos"/>
          <w:lang w:val="en-US"/>
        </w:rPr>
        <w:t xml:space="preserve">Álvarez, E., Losa, S. N., Bracher, A., Thoms, S., and Völker, C.: Phytoplankton Light Absorption Impacted by Photoprotective Carotenoids in a Global Ocean </w:t>
      </w:r>
      <w:proofErr w:type="gramStart"/>
      <w:r w:rsidRPr="005F4AEE">
        <w:rPr>
          <w:rFonts w:ascii="Aptos" w:hAnsi="Aptos"/>
          <w:lang w:val="en-US"/>
        </w:rPr>
        <w:t>Spectrally-Resolved</w:t>
      </w:r>
      <w:proofErr w:type="gramEnd"/>
      <w:r w:rsidRPr="005F4AEE">
        <w:rPr>
          <w:rFonts w:ascii="Aptos" w:hAnsi="Aptos"/>
          <w:lang w:val="en-US"/>
        </w:rPr>
        <w:t xml:space="preserve"> Biogeochemistry Model, J. Adv. Model. Earth Syst., 14, e2022MS003126, https://doi.org/10.1029/2022MS003126, 2022.</w:t>
      </w:r>
    </w:p>
    <w:p w14:paraId="65993837" w14:textId="77777777" w:rsidR="005F4AEE" w:rsidRPr="005F4AEE" w:rsidRDefault="005F4AEE" w:rsidP="005F4AEE">
      <w:pPr>
        <w:pStyle w:val="Bibliography"/>
        <w:rPr>
          <w:rFonts w:ascii="Aptos" w:hAnsi="Aptos"/>
          <w:lang w:val="en-US"/>
        </w:rPr>
      </w:pPr>
      <w:r w:rsidRPr="005F4AEE">
        <w:rPr>
          <w:rFonts w:ascii="Aptos" w:hAnsi="Aptos"/>
          <w:lang w:val="en-US"/>
        </w:rPr>
        <w:t>Barlow, R. G., Cummings, D. G., and Gibb, S. W.: Improved resolution of mono- and divinyl chlorophylls a and b and zeaxanthin and lutein in phytoplankton extracts using reverse phase C-8 HPLC, Mar. Ecol. Prog. Ser., 161, 303–307, https://doi.org/10.3354/meps161303, 1997.</w:t>
      </w:r>
    </w:p>
    <w:p w14:paraId="420E7836" w14:textId="77777777" w:rsidR="005F4AEE" w:rsidRPr="005F4AEE" w:rsidRDefault="005F4AEE" w:rsidP="005F4AEE">
      <w:pPr>
        <w:pStyle w:val="Bibliography"/>
        <w:rPr>
          <w:rFonts w:ascii="Aptos" w:hAnsi="Aptos"/>
          <w:lang w:val="en-US"/>
        </w:rPr>
      </w:pPr>
      <w:r w:rsidRPr="005F4AEE">
        <w:rPr>
          <w:rFonts w:ascii="Aptos" w:hAnsi="Aptos"/>
          <w:lang w:val="en-US"/>
        </w:rPr>
        <w:t>Bidigare, R. R.: Analysis of Algal Chlorophylls and Carotenoids, in: Marine Particles: Analysis and Characterization, American Geophysical Union (AGU), 119–123, https://doi.org/10.1029/GM063p0119, 1991.</w:t>
      </w:r>
    </w:p>
    <w:p w14:paraId="40268E7A" w14:textId="77777777" w:rsidR="005F4AEE" w:rsidRPr="005F4AEE" w:rsidRDefault="005F4AEE" w:rsidP="005F4AEE">
      <w:pPr>
        <w:pStyle w:val="Bibliography"/>
        <w:rPr>
          <w:rFonts w:ascii="Aptos" w:hAnsi="Aptos"/>
          <w:lang w:val="en-US"/>
        </w:rPr>
      </w:pPr>
      <w:r w:rsidRPr="005F4AEE">
        <w:rPr>
          <w:rFonts w:ascii="Aptos" w:hAnsi="Aptos"/>
          <w:lang w:val="en-US"/>
        </w:rPr>
        <w:t>Bracher, A., Taylor, M. H., Taylor, B., Dinter, T., Röttgers, R., and Steinmetz, F.: Using empirical orthogonal functions derived from remote-sensing reflectance for the prediction of phytoplankton pigment concentrations, Ocean Sci., 11, 139–158, https://doi.org/10.5194/os-11-139-2015, 2015.</w:t>
      </w:r>
    </w:p>
    <w:p w14:paraId="2234B683" w14:textId="77777777" w:rsidR="005F4AEE" w:rsidRPr="005F4AEE" w:rsidRDefault="005F4AEE" w:rsidP="005F4AEE">
      <w:pPr>
        <w:pStyle w:val="Bibliography"/>
        <w:rPr>
          <w:rFonts w:ascii="Aptos" w:hAnsi="Aptos"/>
          <w:lang w:val="en-US"/>
        </w:rPr>
      </w:pPr>
      <w:r w:rsidRPr="005F4AEE">
        <w:rPr>
          <w:rFonts w:ascii="Aptos" w:hAnsi="Aptos"/>
          <w:lang w:val="en-US"/>
        </w:rPr>
        <w:t>Hoffmann, L. J., Peeken, I., Lochte, K., Assmy, P., and Veldhuis, M.: Different reactions of Southern Ocean phytoplankton size classes to iron fertilization, Limnol. Oceanogr., 51, 1217–1229, https://doi.org/10.4319/lo.2006.51.3.1217, 2006.</w:t>
      </w:r>
    </w:p>
    <w:p w14:paraId="5B4A9169" w14:textId="77777777" w:rsidR="005F4AEE" w:rsidRPr="005F4AEE" w:rsidRDefault="005F4AEE" w:rsidP="005F4AEE">
      <w:pPr>
        <w:pStyle w:val="Bibliography"/>
        <w:rPr>
          <w:rFonts w:ascii="Aptos" w:hAnsi="Aptos"/>
          <w:lang w:val="en-US"/>
        </w:rPr>
      </w:pPr>
      <w:r w:rsidRPr="005F4AEE">
        <w:rPr>
          <w:rFonts w:ascii="Aptos" w:hAnsi="Aptos"/>
          <w:lang w:val="en-US"/>
        </w:rPr>
        <w:t>Jeffrey, S. and Vesk, M.: Introduction to marine phytoplankton and their pigment signatures, Monogr. Oceanogr. Methodol., 1997.</w:t>
      </w:r>
    </w:p>
    <w:p w14:paraId="56B95078" w14:textId="77777777" w:rsidR="005F4AEE" w:rsidRPr="005F4AEE" w:rsidRDefault="005F4AEE" w:rsidP="005F4AEE">
      <w:pPr>
        <w:pStyle w:val="Bibliography"/>
        <w:rPr>
          <w:rFonts w:ascii="Aptos" w:hAnsi="Aptos"/>
          <w:lang w:val="en-US"/>
        </w:rPr>
      </w:pPr>
      <w:r w:rsidRPr="005F4AEE">
        <w:rPr>
          <w:rFonts w:ascii="Aptos" w:hAnsi="Aptos"/>
          <w:lang w:val="en-US"/>
        </w:rPr>
        <w:t xml:space="preserve">Lee, Y., Min, J.-O., Yang, E. J., Cho, K.-H., Jung, J., Park, J., Moon, J. K., and Kang, S.-H.: Influence of sea ice concentration on phytoplankton community structure in the Chukchi and East </w:t>
      </w:r>
      <w:r w:rsidRPr="005F4AEE">
        <w:rPr>
          <w:rFonts w:ascii="Aptos" w:hAnsi="Aptos"/>
          <w:lang w:val="en-US"/>
        </w:rPr>
        <w:lastRenderedPageBreak/>
        <w:t>Siberian Seas, Pacific Arctic Ocean, Deep Sea Res. Part Oceanogr. Res. Pap., 147, 54–64, https://doi.org/10.1016/j.dsr.2019.04.001, 2019.</w:t>
      </w:r>
    </w:p>
    <w:p w14:paraId="1E50F7F1" w14:textId="77777777" w:rsidR="005F4AEE" w:rsidRPr="005F4AEE" w:rsidRDefault="005F4AEE" w:rsidP="005F4AEE">
      <w:pPr>
        <w:pStyle w:val="Bibliography"/>
        <w:rPr>
          <w:rFonts w:ascii="Aptos" w:hAnsi="Aptos"/>
          <w:lang w:val="en-US"/>
        </w:rPr>
      </w:pPr>
      <w:r w:rsidRPr="005F4AEE">
        <w:rPr>
          <w:rFonts w:ascii="Aptos" w:hAnsi="Aptos"/>
          <w:lang w:val="en-US"/>
        </w:rPr>
        <w:t>Lee, Y., Cho, K.-H., Jung, J., Yang, E. J., Moon, J. K., and Kang, S.-H.: Climate-driven changes in phytoplankton community structure in the Northern Chukchi and East Siberian Seas, Pacific Arctic Ocean, Environ. Res. Commun., 7, 091005, https://doi.org/10.1088/2515-7620/ae009c, 2025.</w:t>
      </w:r>
    </w:p>
    <w:p w14:paraId="2344A50E" w14:textId="77777777" w:rsidR="005F4AEE" w:rsidRPr="005F4AEE" w:rsidRDefault="005F4AEE" w:rsidP="005F4AEE">
      <w:pPr>
        <w:pStyle w:val="Bibliography"/>
        <w:rPr>
          <w:rFonts w:ascii="Aptos" w:hAnsi="Aptos"/>
          <w:lang w:val="en-US"/>
        </w:rPr>
      </w:pPr>
      <w:r w:rsidRPr="005F4AEE">
        <w:rPr>
          <w:rFonts w:ascii="Aptos" w:hAnsi="Aptos"/>
          <w:lang w:val="en-US"/>
        </w:rPr>
        <w:t>van Leeuwe, M. A., Villerius, L. A., Roggeveld, J., Visser, R. J. W., and Stefels, J.: An optimized method for automated analysis of algal pigments by HPLC, Mar. Chem., 102, 267–275, https://doi.org/10.1016/j.marchem.2006.05.003, 2006.</w:t>
      </w:r>
    </w:p>
    <w:p w14:paraId="1B7CCF06" w14:textId="77777777" w:rsidR="005F4AEE" w:rsidRPr="005F4AEE" w:rsidRDefault="005F4AEE" w:rsidP="005F4AEE">
      <w:pPr>
        <w:pStyle w:val="Bibliography"/>
        <w:rPr>
          <w:rFonts w:ascii="Aptos" w:hAnsi="Aptos"/>
          <w:lang w:val="en-US"/>
        </w:rPr>
      </w:pPr>
      <w:r w:rsidRPr="005F4AEE">
        <w:rPr>
          <w:rFonts w:ascii="Aptos" w:hAnsi="Aptos"/>
          <w:lang w:val="en-US"/>
        </w:rPr>
        <w:t>Matthes, L. C.: Light propagation in ice-covered environments: Seasonal progression and biological implications, 2021.</w:t>
      </w:r>
    </w:p>
    <w:p w14:paraId="1E1ED0DB" w14:textId="77777777" w:rsidR="005F4AEE" w:rsidRPr="005F4AEE" w:rsidRDefault="005F4AEE" w:rsidP="005F4AEE">
      <w:pPr>
        <w:pStyle w:val="Bibliography"/>
        <w:rPr>
          <w:rFonts w:ascii="Aptos" w:hAnsi="Aptos"/>
          <w:lang w:val="en-US"/>
        </w:rPr>
      </w:pPr>
      <w:r w:rsidRPr="005F4AEE">
        <w:rPr>
          <w:rFonts w:ascii="Aptos" w:hAnsi="Aptos"/>
          <w:lang w:val="en-US"/>
        </w:rPr>
        <w:t>Möller, K., Thoms, S., Tillmann, U., Krock, B., Koch, F., Peeken, I., and Meunier, C. L.: Effects of bottom-up factors on growth and toxin content of a harmful algae bloom dinoflagellate, Limnol. Oceanogr., 69, 1335–1349, https://doi.org/10.1002/lno.12576, 2024.</w:t>
      </w:r>
    </w:p>
    <w:p w14:paraId="1F3F1377" w14:textId="77777777" w:rsidR="005F4AEE" w:rsidRPr="005F4AEE" w:rsidRDefault="005F4AEE" w:rsidP="005F4AEE">
      <w:pPr>
        <w:pStyle w:val="Bibliography"/>
        <w:rPr>
          <w:rFonts w:ascii="Aptos" w:hAnsi="Aptos"/>
          <w:lang w:val="en-US"/>
        </w:rPr>
      </w:pPr>
      <w:r w:rsidRPr="005F4AEE">
        <w:rPr>
          <w:rFonts w:ascii="Aptos" w:hAnsi="Aptos"/>
          <w:lang w:val="en-US"/>
        </w:rPr>
        <w:t>Parsons, T., Maita, Y., and Lalli, C. M.: Amanual of chemical and biological methods for seawater analysis, Biol. Oceanogr. Process., 173, 1984.</w:t>
      </w:r>
    </w:p>
    <w:p w14:paraId="51DA6EA8" w14:textId="77777777" w:rsidR="005F4AEE" w:rsidRPr="005F4AEE" w:rsidRDefault="005F4AEE" w:rsidP="005F4AEE">
      <w:pPr>
        <w:pStyle w:val="Bibliography"/>
        <w:rPr>
          <w:rFonts w:ascii="Aptos" w:hAnsi="Aptos"/>
          <w:lang w:val="en-US"/>
        </w:rPr>
      </w:pPr>
      <w:r w:rsidRPr="005F4AEE">
        <w:rPr>
          <w:rFonts w:ascii="Aptos" w:hAnsi="Aptos"/>
          <w:lang w:val="en-US"/>
        </w:rPr>
        <w:t>Stoń-Egiert, J. and Kosakowska, A.: RP-HPLC determination of phytoplankton pigments—comparison of calibration results for two columns, Mar. Biol., 147, 251–260, 2005.</w:t>
      </w:r>
    </w:p>
    <w:p w14:paraId="43D4063D" w14:textId="77777777" w:rsidR="005F4AEE" w:rsidRPr="005F4AEE" w:rsidRDefault="005F4AEE" w:rsidP="005F4AEE">
      <w:pPr>
        <w:pStyle w:val="Bibliography"/>
        <w:rPr>
          <w:rFonts w:ascii="Aptos" w:hAnsi="Aptos"/>
          <w:lang w:val="en-US"/>
        </w:rPr>
      </w:pPr>
      <w:r w:rsidRPr="005F4AEE">
        <w:rPr>
          <w:rFonts w:ascii="Aptos" w:hAnsi="Aptos"/>
          <w:lang w:val="en-US"/>
        </w:rPr>
        <w:t>Ston-Egiert, J., Lotocka, M., Ostrowska, M., and Kosakowska, A.: The influence of biotic factors on phytoplankton pigment composition and resources in Baltic ecosystems: new analytical results, Oceanologia, 52, 101–125, 2010.</w:t>
      </w:r>
    </w:p>
    <w:p w14:paraId="38001885" w14:textId="77777777" w:rsidR="005F4AEE" w:rsidRPr="005F4AEE" w:rsidRDefault="005F4AEE" w:rsidP="005F4AEE">
      <w:pPr>
        <w:pStyle w:val="Bibliography"/>
        <w:rPr>
          <w:rFonts w:ascii="Aptos" w:hAnsi="Aptos"/>
          <w:lang w:val="en-US"/>
        </w:rPr>
      </w:pPr>
      <w:r w:rsidRPr="005F4AEE">
        <w:rPr>
          <w:rFonts w:ascii="Aptos" w:hAnsi="Aptos"/>
          <w:lang w:val="en-US"/>
        </w:rPr>
        <w:t>Taylor, B. B., Torrecilla, E., Bernhardt, A., Taylor, M. H., Peeken, I., Röttgers, R., Piera, J., and Bracher, A.: Bio-optical provinces in the eastern Atlantic Ocean and their biogeographical relevance, Biogeosciences, 8, 3609–3629, https://doi.org/10.5194/bg-8-3609-2011, 2011.</w:t>
      </w:r>
    </w:p>
    <w:p w14:paraId="76B96F4B" w14:textId="77777777" w:rsidR="005F4AEE" w:rsidRPr="005F4AEE" w:rsidRDefault="005F4AEE" w:rsidP="005F4AEE">
      <w:pPr>
        <w:pStyle w:val="Bibliography"/>
        <w:rPr>
          <w:rFonts w:ascii="Aptos" w:hAnsi="Aptos"/>
          <w:lang w:val="en-US"/>
        </w:rPr>
      </w:pPr>
      <w:r w:rsidRPr="005F4AEE">
        <w:rPr>
          <w:rFonts w:ascii="Aptos" w:hAnsi="Aptos"/>
          <w:lang w:val="en-US"/>
        </w:rPr>
        <w:t>Tilstone, G., Dall’Olmo, G., Hieronymi, M., Ruddick, K., Beck, M., Ligi, M., Costa, M., D’Alimonte, D., Vellucci, V., Vansteenwegen, D., Bracher, A., Wiegmann, S., Kuusk, J., Vabson, V., Ansko, I., Vendt, R., Donlon, C., and Casal, T.: Field Intercomparison of Radiometer Measurements for Ocean Colour Validation, Remote Sens., 12, https://doi.org/10.3390/rs12101587, 2020.</w:t>
      </w:r>
    </w:p>
    <w:p w14:paraId="42EF8D4D" w14:textId="77777777" w:rsidR="005F4AEE" w:rsidRPr="005F4AEE" w:rsidRDefault="005F4AEE" w:rsidP="005F4AEE">
      <w:pPr>
        <w:pStyle w:val="Bibliography"/>
        <w:rPr>
          <w:rFonts w:ascii="Aptos" w:hAnsi="Aptos"/>
          <w:lang w:val="en-US"/>
        </w:rPr>
      </w:pPr>
      <w:r w:rsidRPr="005F4AEE">
        <w:rPr>
          <w:rFonts w:ascii="Aptos" w:hAnsi="Aptos"/>
          <w:lang w:val="en-US"/>
        </w:rPr>
        <w:t>Zapata, M., Rodríguez, F., and Garrido, J. L.: Separation of chlorophylls and carotenoids from marine phytoplankton: a new HPLC method using a reversed phase C8 column and pyridine-containing mobile phases, Mar. Ecol. Prog. Ser., 195, 29–45, https://doi.org/10.3354/meps195029, 2000.</w:t>
      </w:r>
    </w:p>
    <w:p w14:paraId="7B0CA2F4" w14:textId="77777777" w:rsidR="005F4AEE" w:rsidRPr="005F4AEE" w:rsidRDefault="005F4AEE" w:rsidP="005F4AEE">
      <w:pPr>
        <w:pStyle w:val="Bibliography"/>
        <w:rPr>
          <w:rFonts w:ascii="Aptos" w:hAnsi="Aptos"/>
          <w:lang w:val="en-US"/>
        </w:rPr>
      </w:pPr>
      <w:r w:rsidRPr="005F4AEE">
        <w:rPr>
          <w:rFonts w:ascii="Aptos" w:hAnsi="Aptos"/>
          <w:lang w:val="en-US"/>
        </w:rPr>
        <w:t>Zindler, C., Bracher, A., Marandino, C. A., Taylor, B., Torrecilla, E., Kock, A., and Bange, H. W.: Sulphur compounds, methane, and phytoplankton: interactions along a north–south transit in the western Pacific Ocean, Biogeosciences, 10, 3297–3311, https://doi.org/10.5194/bg-10-3297-2013, 2013.</w:t>
      </w:r>
    </w:p>
    <w:p w14:paraId="6FF0E503" w14:textId="25D07C4B" w:rsidR="00B45C78" w:rsidRPr="00CC06C1" w:rsidRDefault="00CC06C1">
      <w:pPr>
        <w:rPr>
          <w:rFonts w:ascii="Aptos" w:hAnsi="Aptos"/>
          <w:lang w:val="en-US"/>
        </w:rPr>
      </w:pPr>
      <w:r w:rsidRPr="00CC06C1">
        <w:rPr>
          <w:rFonts w:ascii="Aptos" w:hAnsi="Aptos"/>
          <w:lang w:val="en-US"/>
        </w:rPr>
        <w:fldChar w:fldCharType="end"/>
      </w:r>
    </w:p>
    <w:p w14:paraId="773EFD61" w14:textId="0216A550" w:rsidR="00EC3E8E" w:rsidRPr="00B45C78" w:rsidRDefault="00EC3E8E">
      <w:pPr>
        <w:rPr>
          <w:lang w:val="en-US"/>
        </w:rPr>
      </w:pPr>
    </w:p>
    <w:sectPr w:rsidR="00EC3E8E" w:rsidRPr="00B45C78">
      <w:pgSz w:w="11909" w:h="16834"/>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1" w:fontKey="{D136E367-D081-48E3-A51F-0C981DCD4506}"/>
    <w:embedBold r:id="rId2" w:fontKey="{6601A0D9-1F79-4879-8D8B-44C9BC4DD8BC}"/>
    <w:embedItalic r:id="rId3" w:fontKey="{27887E10-B3A3-43F1-A4BB-6A698417AA4A}"/>
  </w:font>
  <w:font w:name="Calibri">
    <w:panose1 w:val="020F0502020204030204"/>
    <w:charset w:val="00"/>
    <w:family w:val="swiss"/>
    <w:pitch w:val="variable"/>
    <w:sig w:usb0="E4002EFF" w:usb1="C200247B" w:usb2="00000009" w:usb3="00000000" w:csb0="000001FF" w:csb1="00000000"/>
    <w:embedRegular r:id="rId4" w:fontKey="{CDCA5F46-5C5D-419D-9FD6-A1659567B354}"/>
  </w:font>
  <w:font w:name="Gungsuh">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embedRegular r:id="rId5" w:fontKey="{01E4A064-2CFF-4E45-89E7-206C34F65059}"/>
  </w:font>
  <w:font w:name="Cambria">
    <w:panose1 w:val="02040503050406030204"/>
    <w:charset w:val="00"/>
    <w:family w:val="roman"/>
    <w:pitch w:val="variable"/>
    <w:sig w:usb0="E00006FF" w:usb1="420024FF" w:usb2="02000000" w:usb3="00000000" w:csb0="0000019F" w:csb1="00000000"/>
    <w:embedRegular r:id="rId6" w:fontKey="{CB6ECF46-2530-47BD-96FE-4AC0F1F3BAFF}"/>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2C41"/>
    <w:rsid w:val="000273F2"/>
    <w:rsid w:val="00066A26"/>
    <w:rsid w:val="000A4116"/>
    <w:rsid w:val="00146B91"/>
    <w:rsid w:val="00182AEB"/>
    <w:rsid w:val="001C0D96"/>
    <w:rsid w:val="00437653"/>
    <w:rsid w:val="004965F5"/>
    <w:rsid w:val="00542781"/>
    <w:rsid w:val="005C36ED"/>
    <w:rsid w:val="005F4AEE"/>
    <w:rsid w:val="00600AEE"/>
    <w:rsid w:val="00680932"/>
    <w:rsid w:val="00700494"/>
    <w:rsid w:val="00787C1E"/>
    <w:rsid w:val="008334D5"/>
    <w:rsid w:val="00873484"/>
    <w:rsid w:val="008B257A"/>
    <w:rsid w:val="008C4FAC"/>
    <w:rsid w:val="00915E7D"/>
    <w:rsid w:val="00916F8A"/>
    <w:rsid w:val="00B432A2"/>
    <w:rsid w:val="00B45C78"/>
    <w:rsid w:val="00B5092E"/>
    <w:rsid w:val="00BA7954"/>
    <w:rsid w:val="00BC235D"/>
    <w:rsid w:val="00BF3171"/>
    <w:rsid w:val="00C45FF4"/>
    <w:rsid w:val="00C62C41"/>
    <w:rsid w:val="00CC06C1"/>
    <w:rsid w:val="00CC16A6"/>
    <w:rsid w:val="00CC3AE7"/>
    <w:rsid w:val="00D13604"/>
    <w:rsid w:val="00D41E20"/>
    <w:rsid w:val="00D5003F"/>
    <w:rsid w:val="00D7763F"/>
    <w:rsid w:val="00DF1C2E"/>
    <w:rsid w:val="00E07E76"/>
    <w:rsid w:val="00E359EF"/>
    <w:rsid w:val="00EC3E8E"/>
    <w:rsid w:val="00EE2E6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6D1F4E"/>
  <w15:docId w15:val="{7BAE9FD0-8ABA-4800-B6BA-23E59163DC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da"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 w:type="paragraph" w:styleId="Bibliography">
    <w:name w:val="Bibliography"/>
    <w:basedOn w:val="Normal"/>
    <w:next w:val="Normal"/>
    <w:uiPriority w:val="37"/>
    <w:unhideWhenUsed/>
    <w:rsid w:val="00EC3E8E"/>
    <w:pPr>
      <w:spacing w:after="240" w:line="240" w:lineRule="auto"/>
    </w:pPr>
  </w:style>
  <w:style w:type="character" w:styleId="Hyperlink">
    <w:name w:val="Hyperlink"/>
    <w:basedOn w:val="DefaultParagraphFont"/>
    <w:uiPriority w:val="99"/>
    <w:unhideWhenUsed/>
    <w:rsid w:val="00D13604"/>
    <w:rPr>
      <w:color w:val="0000FF" w:themeColor="hyperlink"/>
      <w:u w:val="single"/>
    </w:rPr>
  </w:style>
  <w:style w:type="character" w:styleId="UnresolvedMention">
    <w:name w:val="Unresolved Mention"/>
    <w:basedOn w:val="DefaultParagraphFont"/>
    <w:uiPriority w:val="99"/>
    <w:semiHidden/>
    <w:unhideWhenUsed/>
    <w:rsid w:val="00D1360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48</TotalTime>
  <Pages>9</Pages>
  <Words>11009</Words>
  <Characters>62752</Characters>
  <Application>Microsoft Office Word</Application>
  <DocSecurity>0</DocSecurity>
  <Lines>522</Lines>
  <Paragraphs>147</Paragraphs>
  <ScaleCrop>false</ScaleCrop>
  <Company>Technical University of Denmark - DTU</Company>
  <LinksUpToDate>false</LinksUpToDate>
  <CharactersWithSpaces>73614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Asta Clara Heidemann</dc:creator>
  <cp:lastModifiedBy>Asta Clara Heidemann</cp:lastModifiedBy>
  <cp:revision>38</cp:revision>
  <dcterms:created xsi:type="dcterms:W3CDTF">2026-05-21T11:47:00Z</dcterms:created>
  <dcterms:modified xsi:type="dcterms:W3CDTF">2026-06-09T14:59:00Z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zotero-version="7.0.22"&gt;&lt;session id="wqBmd9Wu"/&gt;&lt;style id="http://www.zotero.org/styles/earth-system-science-data" hasBibliography="1" bibliographyStyleHasBeenSet="1"/&gt;&lt;prefs&gt;&lt;pref name="fieldType" value="Field"/&gt;&lt;pref name="automat</vt:lpwstr>
  </property>
  <property fmtid="{D5CDD505-2E9C-101B-9397-08002B2CF9AE}" pid="3" name="ZOTERO_PREF_2">
    <vt:lpwstr>icJournalAbbreviations" value="true"/&gt;&lt;/prefs&gt;&lt;/data&gt;</vt:lpwstr>
  </property>
</Properties>
</file>